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2 dari Klaster Digital — Ekosistem Buku Pendidikan Dokter Spesialis Kedokteran Keluarga Layanan Primer (SpKKLP)</w:t>
      </w:r>
    </w:p>
    <w:p>
      <w:pPr>
        <w:spacing w:after="200"/>
      </w:pPr>
    </w:p>
    <w:p>
      <w:pPr>
        <w:jc w:val="center"/>
      </w:pPr>
      <w:r>
        <w:rPr>
          <w:b/>
          <w:bCs/>
          <w:sz w:val="36"/>
          <w:szCs w:val="36"/>
        </w:rPr>
        <w:t xml:space="preserve">Pengelolaan Penyakit Kardiovaskular dan Metabolik di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BEBAN PENYAKIT KARDIOVASKULAR DAN METABOLIK DI LAYANAN PRIMER</w:t>
      </w:r>
    </w:p>
    <w:p>
      <w:pPr>
        <w:spacing w:after="160"/>
        <w:jc w:val="both"/>
      </w:pPr>
      <w:r>
        <w:t xml:space="preserve">Penyakit kardiovaskular dan metabolik — utamanya hipertensi, diabetes melitus tipe 2, dislipidemia, dan obesitas — merupakan kelompok penyakit tidak menular dengan beban terbesar yang ditangani di fasilitas kesehatan tingkat pertama Indonesia. Buku ini membahas kelompok penyakit tersebut sebagai bagian dari Area Kompetensi g (pengelolaan penyakit dan masalah kesehatan di layanan primer), dengan tetap menerapkan pendekatan holistik dan berpusat pada pasien yang dibangun pada Buku Tematik 1 (B1).</w:t>
      </w:r>
    </w:p>
    <w:p>
      <w:pPr>
        <w:spacing w:after="160"/>
        <w:jc w:val="both"/>
      </w:pPr>
      <w:r>
        <w:t xml:space="preserve">Ciri khas pengelolaan penyakit kronik di layanan primer adalah sifatnya yang berkesinambungan: bukan episode tunggal, melainkan pemantauan jangka panjang yang melibatkan pasien, keluarga, dan sistem rujukan berjenjang bila diperlukan.</w:t>
      </w:r>
    </w:p>
    <w:p>
      <w:pPr>
        <w:pBdr>
          <w:left w:val="single" w:color="A9812F" w:sz="24"/>
        </w:pBdr>
        <w:shd w:fill="FBEFD9" w:val="clear"/>
        <w:spacing w:after="200" w:before="100"/>
        <w:ind w:left="200"/>
      </w:pPr>
      <w:r>
        <w:rPr>
          <w:b/>
          <w:bCs/>
          <w:color w:val="8A6410"/>
        </w:rPr>
        <w:t xml:space="preserve">⚠ TINJAU TENAGA KESEHATAN — </w:t>
      </w:r>
      <w:r>
        <w:rPr>
          <w:i/>
          <w:iCs/>
        </w:rPr>
        <w:t xml:space="preserve">seluruh ambang diagnostik, target terapi, dan algoritma tata laksana pada bab-bab berikut wajib ditinjau ulang oleh tenaga kesehatan/pembimbing klinis berwenang dan disesuaikan dengan pedoman nasional terbaru — PERKENI, InaSH, dan PERKI — sebelum dipakai sebagai acuan tata laksana definitif. Struktur 7 Area Kompetensi dan kerangka penjenjangan kompetensi pada Perkonsil Nomor 65 Tahun 2019 telah diverifikasi terhadap salinan resmi yang dipublikasikan di situs Konsil Kedokteran Indonesia (kki.go.id); namun rincian tabel Lampiran II (Daftar Masalah Kesehatan) dan Lampiran IV (Daftar Penyakit Berdasarkan Tingkat Kemampuan) untuk tiap penyakit kardiovaskular-metabolik belum ditelusuri satu per satu pada edisi ini dan wajib diverifikasi ulang oleh pembaca terhadap dokumen resmi sebelum dipakai sebagai acuan definitif.</w:t>
      </w:r>
    </w:p>
    <w:p>
      <w:pPr>
        <w:pStyle w:val="Heading1"/>
        <w:spacing w:after="150" w:before="300"/>
      </w:pPr>
      <w:r>
        <w:t xml:space="preserve">BAB II — HIPERTENSI DI LAYANAN PRIMER</w:t>
      </w:r>
    </w:p>
    <w:p>
      <w:pPr>
        <w:spacing w:after="160"/>
        <w:jc w:val="both"/>
      </w:pPr>
      <w:r>
        <w:t xml:space="preserve">Hipertensi adalah salah satu alasan kunjungan tersering di layanan primer. Pendekatan kedokteran keluarga menekankan penapisan aktif pada populasi berisiko, penegakan diagnosis melalui pengukuran berulang sesuai standar, penelusuran kemungkinan hipertensi sekunder pada kasus tertentu, serta edukasi modifikasi gaya hidup sebagai fondasi tata laksana sebelum maupun bersamaan dengan terapi farmakologis.</w:t>
      </w:r>
    </w:p>
    <w:p>
      <w:pPr>
        <w:pStyle w:val="ListParagraph"/>
        <w:numPr>
          <w:ilvl w:val="0"/>
          <w:numId w:val="1"/>
        </w:numPr>
        <w:spacing w:after="90"/>
      </w:pPr>
      <w:r>
        <w:t xml:space="preserve">Penapisan tekanan darah rutin pada setiap kunjungan dewasa, terlepas dari keluhan utama.</w:t>
      </w:r>
    </w:p>
    <w:p>
      <w:pPr>
        <w:pStyle w:val="ListParagraph"/>
        <w:numPr>
          <w:ilvl w:val="0"/>
          <w:numId w:val="1"/>
        </w:numPr>
        <w:spacing w:after="90"/>
      </w:pPr>
      <w:r>
        <w:t xml:space="preserve">Konfirmasi diagnosis melalui pengukuran berulang pada kunjungan berbeda, bukan satu kali pengukuran.</w:t>
      </w:r>
    </w:p>
    <w:p>
      <w:pPr>
        <w:pStyle w:val="ListParagraph"/>
        <w:numPr>
          <w:ilvl w:val="0"/>
          <w:numId w:val="1"/>
        </w:numPr>
        <w:spacing w:after="90"/>
      </w:pPr>
      <w:r>
        <w:t xml:space="preserve">Penilaian risiko kardiovaskular total, bukan tekanan darah semata.</w:t>
      </w:r>
    </w:p>
    <w:p>
      <w:pPr>
        <w:pStyle w:val="ListParagraph"/>
        <w:numPr>
          <w:ilvl w:val="0"/>
          <w:numId w:val="1"/>
        </w:numPr>
        <w:spacing w:after="90"/>
      </w:pPr>
      <w:r>
        <w:t xml:space="preserve">Edukasi keluarga sebagai bagian dari rencana tata laksana, khususnya terkait pola makan dan aktivitas fisik rumah tangga.</w:t>
      </w:r>
    </w:p>
    <w:p>
      <w:pPr>
        <w:pStyle w:val="ListParagraph"/>
        <w:numPr>
          <w:ilvl w:val="0"/>
          <w:numId w:val="1"/>
        </w:numPr>
        <w:spacing w:after="90"/>
      </w:pPr>
      <w:r>
        <w:t xml:space="preserve">Kriteria rujukan pada hipertensi resisten, kecurigaan hipertensi sekunder, atau kerusakan organ target yang progresif.</w:t>
      </w:r>
    </w:p>
    <w:p>
      <w:pPr>
        <w:pStyle w:val="Heading1"/>
        <w:spacing w:after="150" w:before="300"/>
      </w:pPr>
      <w:r>
        <w:t xml:space="preserve">BAB III — DIABETES MELITUS TIPE 2</w:t>
      </w:r>
    </w:p>
    <w:p>
      <w:pPr>
        <w:spacing w:after="160"/>
        <w:jc w:val="both"/>
      </w:pPr>
      <w:r>
        <w:t xml:space="preserve">Pengelolaan diabetes melitus tipe 2 di layanan primer mencakup penapisan pada kelompok berisiko, penegakan diagnosis, edukasi terstruktur (termasuk pengaturan diet dan aktivitas fisik), pemilihan terapi farmakologis awal, pemantauan komplikasi mikrovaskular dan makrovaskular secara berkala, serta koordinasi rujukan ke layanan sekunder-tersier saat diperlukan.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Komponen Pemantauan</w:t>
            </w:r>
          </w:p>
        </w:tc>
        <w:tc>
          <w:tcPr>
            <w:tcW w:type="dxa" w:w="4500"/>
            <w:shd w:fill="2C3A64" w:val="clear"/>
          </w:tcPr>
          <w:p>
            <w:r>
              <w:rPr>
                <w:b/>
                <w:bCs/>
                <w:color w:val="FFFFFF"/>
              </w:rPr>
              <w:t xml:space="preserve">Frekuensi Umum Dianjurkan</w:t>
            </w:r>
          </w:p>
        </w:tc>
      </w:tr>
      <w:tr>
        <w:tc>
          <w:tcPr>
            <w:tcW w:type="dxa" w:w="4500"/>
          </w:tcPr>
          <w:p>
            <w:r>
              <w:t xml:space="preserve">HbA1c atau gula darah puasa</w:t>
            </w:r>
          </w:p>
        </w:tc>
        <w:tc>
          <w:tcPr>
            <w:tcW w:type="dxa" w:w="4500"/>
          </w:tcPr>
          <w:p>
            <w:r>
              <w:t xml:space="preserve">Berkala sesuai stabilitas kendali glikemik</w:t>
            </w:r>
          </w:p>
        </w:tc>
      </w:tr>
      <w:tr>
        <w:tc>
          <w:tcPr>
            <w:tcW w:type="dxa" w:w="4500"/>
          </w:tcPr>
          <w:p>
            <w:r>
              <w:t xml:space="preserve">Fungsi ginjal dan urin albumin</w:t>
            </w:r>
          </w:p>
        </w:tc>
        <w:tc>
          <w:tcPr>
            <w:tcW w:type="dxa" w:w="4500"/>
          </w:tcPr>
          <w:p>
            <w:r>
              <w:t xml:space="preserve">Tahunan, lebih sering bila terdapat kelainan</w:t>
            </w:r>
          </w:p>
        </w:tc>
      </w:tr>
      <w:tr>
        <w:tc>
          <w:tcPr>
            <w:tcW w:type="dxa" w:w="4500"/>
          </w:tcPr>
          <w:p>
            <w:r>
              <w:t xml:space="preserve">Pemeriksaan kaki</w:t>
            </w:r>
          </w:p>
        </w:tc>
        <w:tc>
          <w:tcPr>
            <w:tcW w:type="dxa" w:w="4500"/>
          </w:tcPr>
          <w:p>
            <w:r>
              <w:t xml:space="preserve">Setiap kunjungan kendali; pemeriksaan menyeluruh tahunan</w:t>
            </w:r>
          </w:p>
        </w:tc>
      </w:tr>
      <w:tr>
        <w:tc>
          <w:tcPr>
            <w:tcW w:type="dxa" w:w="4500"/>
          </w:tcPr>
          <w:p>
            <w:r>
              <w:t xml:space="preserve">Pemeriksaan mata (funduskopi)</w:t>
            </w:r>
          </w:p>
        </w:tc>
        <w:tc>
          <w:tcPr>
            <w:tcW w:type="dxa" w:w="4500"/>
          </w:tcPr>
          <w:p>
            <w:r>
              <w:t xml:space="preserve">Tahunan atau sesuai rekomendasi spesialis mata</w:t>
            </w:r>
          </w:p>
        </w:tc>
      </w:tr>
      <w:tr>
        <w:tc>
          <w:tcPr>
            <w:tcW w:type="dxa" w:w="4500"/>
          </w:tcPr>
          <w:p>
            <w:r>
              <w:t xml:space="preserve">Profil lipid</w:t>
            </w:r>
          </w:p>
        </w:tc>
        <w:tc>
          <w:tcPr>
            <w:tcW w:type="dxa" w:w="4500"/>
          </w:tcPr>
          <w:p>
            <w:r>
              <w:t xml:space="preserve">Tahunan atau sesuai indikasi klinis</w:t>
            </w:r>
          </w:p>
        </w:tc>
      </w:tr>
    </w:tbl>
    <w:p>
      <w:pPr>
        <w:spacing w:after="160"/>
      </w:pPr>
    </w:p>
    <w:p>
      <w:pPr>
        <w:spacing w:after="160"/>
        <w:jc w:val="both"/>
      </w:pPr>
      <w:r>
        <w:t xml:space="preserve">Angka target dan pilihan obat lini pertama tidak dicantumkan secara spesifik pada buku ini dan wajib mengikuti pedoman nasional terbaru sesuai catatan tinjau pada Bab I.</w:t>
      </w:r>
    </w:p>
    <w:p>
      <w:pPr>
        <w:pStyle w:val="Heading1"/>
        <w:spacing w:after="150" w:before="300"/>
      </w:pPr>
      <w:r>
        <w:t xml:space="preserve">BAB IV — DISLIPIDEMIA</w:t>
      </w:r>
    </w:p>
    <w:p>
      <w:pPr>
        <w:spacing w:after="160"/>
        <w:jc w:val="both"/>
      </w:pPr>
      <w:r>
        <w:t xml:space="preserve">Dislipidemia umumnya ditemukan bersamaan dengan hipertensi dan diabetes melitus dalam konteks sindrom metabolik. Pendekatan layanan primer menekankan penilaian risiko kardiovaskular total sebagai dasar keputusan terapi, bukan semata angka kolesterol tunggal, serta pentingnya modifikasi gaya hidup sebagai intervensi lini pertama pada risiko rendah-sedang.</w:t>
      </w:r>
    </w:p>
    <w:p>
      <w:pPr>
        <w:pStyle w:val="Heading1"/>
        <w:spacing w:after="150" w:before="300"/>
      </w:pPr>
      <w:r>
        <w:t xml:space="preserve">BAB V — OBESITAS</w:t>
      </w:r>
    </w:p>
    <w:p>
      <w:pPr>
        <w:spacing w:after="160"/>
        <w:jc w:val="both"/>
      </w:pPr>
      <w:r>
        <w:t xml:space="preserve">Obesitas adalah faktor risiko bersama bagi hipertensi, diabetes, dan dislipidemia, sekaligus kondisi yang memerlukan pendekatan tersendiri: penilaian indeks massa tubuh dan lingkar perut, penggalian faktor psikososial dan pola makan keluarga, serta intervensi bertahap yang realistis sesuai konteks sosial-ekonomi pasien.</w:t>
      </w:r>
    </w:p>
    <w:p>
      <w:pPr>
        <w:pStyle w:val="Heading1"/>
        <w:spacing w:after="150" w:before="300"/>
      </w:pPr>
      <w:r>
        <w:t xml:space="preserve">BAB VI — PENDEKATAN SINDROM METABOLIK TERPADU</w:t>
      </w:r>
    </w:p>
    <w:p>
      <w:pPr>
        <w:spacing w:after="160"/>
        <w:jc w:val="both"/>
      </w:pPr>
      <w:r>
        <w:t xml:space="preserve">Karena keempat kondisi di atas sering muncul bersamaan, dokter layanan primer dianjurkan mengelolanya secara terpadu dalam satu rencana perawatan, bukan sebagai penyakit terpisah — memanfaatkan perangkat family-centered pada Buku Tematik 1 (genogram, family APGAR) untuk memahami pola risiko dalam keluarga dan merancang intervensi yang melibatkan seluruh anggota keluarga berisiko.</w:t>
      </w:r>
    </w:p>
    <w:p>
      <w:pPr>
        <w:pStyle w:val="Heading1"/>
        <w:spacing w:after="150" w:before="300"/>
      </w:pPr>
      <w:r>
        <w:t xml:space="preserve">BAB VII — PENUTUP</w:t>
      </w:r>
    </w:p>
    <w:p>
      <w:pPr>
        <w:spacing w:after="160"/>
        <w:jc w:val="both"/>
      </w:pPr>
      <w:r>
        <w:t xml:space="preserve">Penguasaan pengelolaan penyakit kardiovaskular dan metabolik menjadi dasar bagi buku-buku tematik berikutnya yang membahas kelompok penyakit lain di layanan primer, dengan prinsip pemantauan berkesinambungan yang sama.</w:t>
      </w:r>
    </w:p>
    <w:p>
      <w:pPr>
        <w:pStyle w:val="Heading2"/>
        <w:spacing w:after="120" w:before="250"/>
      </w:pPr>
      <w:r>
        <w:t xml:space="preserve">Glosarium</w:t>
      </w:r>
    </w:p>
    <w:p>
      <w:pPr>
        <w:spacing w:after="90"/>
      </w:pPr>
      <w:r>
        <w:rPr>
          <w:b/>
          <w:bCs/>
        </w:rPr>
        <w:t xml:space="preserve">Sindrom Metabolik — </w:t>
      </w:r>
      <w:r>
        <w:t xml:space="preserve">Kumpulan faktor risiko kardiovaskular yang muncul bersamaan: obesitas sentral, hipertensi, dislipidemia, dan resistensi insulin.</w:t>
      </w:r>
    </w:p>
    <w:p>
      <w:pPr>
        <w:spacing w:after="90"/>
      </w:pPr>
      <w:r>
        <w:rPr>
          <w:b/>
          <w:bCs/>
        </w:rPr>
        <w:t xml:space="preserve">HbA1c — </w:t>
      </w:r>
      <w:r>
        <w:t xml:space="preserve">Hemoglobin terglikasi, penanda kendali gula darah rata-rata 2-3 bulan terakhir.</w:t>
      </w:r>
    </w:p>
    <w:p>
      <w:pPr>
        <w:spacing w:after="90"/>
      </w:pPr>
      <w:r>
        <w:rPr>
          <w:b/>
          <w:bCs/>
        </w:rPr>
        <w:t xml:space="preserve">Risiko Kardiovaskular Total — </w:t>
      </w:r>
      <w:r>
        <w:t xml:space="preserve">Estimasi risiko kejadian kardiovaskular berdasarkan kombinasi faktor risiko, bukan satu faktor tunggal.</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ambang diagnostik dan target terapi kardiovaskular-metabolik dalam buku ini bersifat umum; pembaca disarankan merujuk pedoman edisi berlaku dari PERKENI (Perkumpulan Endokrinologi Indonesia), InaSH (Indonesian Society of Hypertension), dan PERKI (Perhimpunan Dokter Spesialis Kardiovaskular Indonesia).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2026-07-15T05:18:29.398Z</dcterms:created>
  <dcterms:modified xsi:type="dcterms:W3CDTF">2026-07-15T05:18:29.398Z</dcterms:modified>
</cp:coreProperties>
</file>

<file path=docProps/custom.xml><?xml version="1.0" encoding="utf-8"?>
<Properties xmlns="http://schemas.openxmlformats.org/officeDocument/2006/custom-properties" xmlns:vt="http://schemas.openxmlformats.org/officeDocument/2006/docPropsVTypes"/>
</file>