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t xml:space="preserve">PERPUSTAKAAN DIGITAL ABBA</w:t>
      </w:r>
    </w:p>
    <w:p>
      <w:pPr>
        <w:jc w:val="center"/>
      </w:pPr>
      <w:r>
        <w:t xml:space="preserve">Jl. Kerinci Raya No. 9, Malang 65138</w:t>
      </w:r>
    </w:p>
    <w:p>
      <w:pPr>
        <w:spacing w:after="200"/>
      </w:pPr>
    </w:p>
    <w:p>
      <w:pPr>
        <w:jc w:val="center"/>
      </w:pPr>
      <w:r>
        <w:rPr>
          <w:sz w:val="20"/>
          <w:szCs w:val="20"/>
        </w:rPr>
        <w:t xml:space="preserve">Buku Tematik 3 dari Klaster Digital — Ekosistem Buku Pendidikan Dokter Spesialis Kedokteran Keluarga Layanan Primer (SpKKLP)</w:t>
      </w:r>
    </w:p>
    <w:p>
      <w:pPr>
        <w:spacing w:after="200"/>
      </w:pPr>
    </w:p>
    <w:p>
      <w:pPr>
        <w:jc w:val="center"/>
      </w:pPr>
      <w:r>
        <w:rPr>
          <w:b/>
          <w:bCs/>
          <w:sz w:val="36"/>
          <w:szCs w:val="36"/>
        </w:rPr>
        <w:t xml:space="preserve">Pengelolaan Penyakit Infeksi dan Penyakit Tropis di Layanan Primer</w:t>
      </w:r>
    </w:p>
    <w:p>
      <w:pPr>
        <w:spacing w:after="400"/>
      </w:pPr>
    </w:p>
    <w:p>
      <w:pPr>
        <w:jc w:val="center"/>
      </w:pPr>
      <w:r>
        <w:t xml:space="preserve">Disusun oleh</w:t>
      </w:r>
    </w:p>
    <w:p>
      <w:pPr>
        <w:jc w:val="center"/>
      </w:pPr>
      <w:r>
        <w:rPr>
          <w:b/>
          <w:bCs/>
        </w:rPr>
        <w:t xml:space="preserve">Dr.dr. H. Budi Siswanto, Sp.OG, Subsp.Obginsos., SH., S.Kom.</w:t>
      </w:r>
    </w:p>
    <w:p>
      <w:pPr>
        <w:jc w:val="center"/>
      </w:pPr>
      <w:r>
        <w:t xml:space="preserve">2026</w:t>
      </w:r>
    </w:p>
    <w:p>
      <w:pPr>
        <w:pageBreakBefore/>
      </w:pPr>
    </w:p>
    <w:p>
      <w:pPr>
        <w:pStyle w:val="Heading1"/>
        <w:spacing w:after="150" w:before="300"/>
      </w:pPr>
      <w:r>
        <w:t xml:space="preserve">BAB I — POSISI PENYAKIT INFEKSI DALAM LAYANAN PRIMER INDONESIA</w:t>
      </w:r>
    </w:p>
    <w:p>
      <w:pPr>
        <w:spacing w:after="160"/>
        <w:jc w:val="both"/>
      </w:pPr>
      <w:r>
        <w:t xml:space="preserve">Meskipun beban penyakit tidak menular terus meningkat, penyakit infeksi dan tropis tetap menjadi bagian signifikan dari beban kerja layanan primer di Indonesia, dengan pola musiman dan kewilayahan yang khas. Dokter spesialis kedokteran keluarga layanan primer berperan tidak hanya dalam tata laksana kasus individu, tetapi juga deteksi dini potensi wabah dan koordinasi dengan sistem surveilans kesehatan masyarakat setempat.</w:t>
      </w:r>
    </w:p>
    <w:p>
      <w:pPr>
        <w:pBdr>
          <w:left w:val="single" w:color="A9812F" w:sz="24"/>
        </w:pBdr>
        <w:shd w:fill="FBEFD9" w:val="clear"/>
        <w:spacing w:after="200" w:before="100"/>
        <w:ind w:left="200"/>
      </w:pPr>
      <w:r>
        <w:rPr>
          <w:b/>
          <w:bCs/>
          <w:color w:val="8A6410"/>
        </w:rPr>
        <w:t xml:space="preserve">⚠ TINJAU TENAGA KESEHATAN — </w:t>
      </w:r>
      <w:r>
        <w:rPr>
          <w:i/>
          <w:iCs/>
        </w:rPr>
        <w:t xml:space="preserve">seluruh ambang diagnostik, algoritma tata laksana, dan kriteria rujukan pada bab-bab berikut wajib ditinjau ulang sesuai pedoman nasional terbaru Kementerian Kesehatan dan organisasi profesi terkait sebelum dipakai sebagai acuan definitif. Struktur 7 Area Kompetensi dan kerangka penjenjangan kompetensi pada Perkonsil Nomor 65 Tahun 2019 telah diverifikasi terhadap salinan resmi yang dipublikasikan di situs Konsil Kedokteran Indonesia (kki.go.id); namun rincian tabel Lampiran II dan Lampiran IV untuk tiap penyakit infeksi dan tropis belum ditelusuri satu per satu pada edisi ini dan wajib diverifikasi ulang oleh pembaca terhadap dokumen resmi sebelum dipakai sebagai acuan definitif.</w:t>
      </w:r>
    </w:p>
    <w:p>
      <w:pPr>
        <w:pStyle w:val="Heading1"/>
        <w:spacing w:after="150" w:before="300"/>
      </w:pPr>
      <w:r>
        <w:t xml:space="preserve">BAB II — INFEKSI SALURAN PERNAPASAN AKUT (ISPA)</w:t>
      </w:r>
    </w:p>
    <w:p>
      <w:pPr>
        <w:spacing w:after="160"/>
        <w:jc w:val="both"/>
      </w:pPr>
      <w:r>
        <w:t xml:space="preserve">ISPA adalah salah satu diagnosis tersering di layanan primer pada semua kelompok usia. Pendekatan kedokteran keluarga menekankan pembedaan klinis antara infeksi virus swasirna dan kondisi yang memerlukan terapi antibiotik atau rujukan, edukasi keluarga tentang tanda bahaya, serta kewaspadaan terhadap pola gejala yang mengarah pada pneumonia, khususnya pada anak dan lanjut usia.</w:t>
      </w:r>
    </w:p>
    <w:p>
      <w:pPr>
        <w:pStyle w:val="ListParagraph"/>
        <w:numPr>
          <w:ilvl w:val="0"/>
          <w:numId w:val="1"/>
        </w:numPr>
        <w:spacing w:after="90"/>
      </w:pPr>
      <w:r>
        <w:t xml:space="preserve">Penilaian tanda vital dan tanda bahaya sebagai prioritas awal, bukan sekadar penegakan diagnosis etiologi.</w:t>
      </w:r>
    </w:p>
    <w:p>
      <w:pPr>
        <w:pStyle w:val="ListParagraph"/>
        <w:numPr>
          <w:ilvl w:val="0"/>
          <w:numId w:val="1"/>
        </w:numPr>
        <w:spacing w:after="90"/>
      </w:pPr>
      <w:r>
        <w:t xml:space="preserve">Edukasi keluarga tentang perawatan di rumah dan tanda yang mengharuskan kembali ke fasilitas kesehatan.</w:t>
      </w:r>
    </w:p>
    <w:p>
      <w:pPr>
        <w:pStyle w:val="ListParagraph"/>
        <w:numPr>
          <w:ilvl w:val="0"/>
          <w:numId w:val="1"/>
        </w:numPr>
        <w:spacing w:after="90"/>
      </w:pPr>
      <w:r>
        <w:t xml:space="preserve">Kewaspadaan rasional terhadap peresepan antibiotik yang tidak perlu.</w:t>
      </w:r>
    </w:p>
    <w:p>
      <w:pPr>
        <w:pStyle w:val="ListParagraph"/>
        <w:numPr>
          <w:ilvl w:val="0"/>
          <w:numId w:val="1"/>
        </w:numPr>
        <w:spacing w:after="90"/>
      </w:pPr>
      <w:r>
        <w:t xml:space="preserve">Koordinasi rujukan segera pada tanda bahaya umum maupun tanda bahaya khusus pneumonia.</w:t>
      </w:r>
    </w:p>
    <w:p>
      <w:pPr>
        <w:pStyle w:val="Heading1"/>
        <w:spacing w:after="150" w:before="300"/>
      </w:pPr>
      <w:r>
        <w:t xml:space="preserve">BAB III — TUBERKULOSIS</w:t>
      </w:r>
    </w:p>
    <w:p>
      <w:pPr>
        <w:spacing w:after="160"/>
        <w:jc w:val="both"/>
      </w:pPr>
      <w:r>
        <w:t xml:space="preserve">Tuberkulosis memerlukan pendekatan layanan primer yang khas: penemuan kasus aktif dan pasif, penegakan diagnosis sesuai alur nasional, pengawasan kepatuhan pengobatan jangka panjang (umumnya melibatkan pengawas minum obat), pelacakan kontak serumal, serta koordinasi dengan program penanggulangan tuberkulosis nasional. Peran keluarga sebagai unit pendukung kepatuhan pengobatan menjadi penekanan khas pendekatan kedokteran keluarga dibandingkan pendekatan berbasis rumah sakit semata.</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shd w:fill="2C3A64" w:val="clear"/>
          </w:tcPr>
          <w:p>
            <w:r>
              <w:rPr>
                <w:b/>
                <w:bCs/>
                <w:color w:val="FFFFFF"/>
              </w:rPr>
              <w:t xml:space="preserve">Tahap</w:t>
            </w:r>
          </w:p>
        </w:tc>
        <w:tc>
          <w:tcPr>
            <w:tcW w:type="dxa" w:w="4500"/>
            <w:shd w:fill="2C3A64" w:val="clear"/>
          </w:tcPr>
          <w:p>
            <w:r>
              <w:rPr>
                <w:b/>
                <w:bCs/>
                <w:color w:val="FFFFFF"/>
              </w:rPr>
              <w:t xml:space="preserve">Fokus Layanan Primer</w:t>
            </w:r>
          </w:p>
        </w:tc>
      </w:tr>
      <w:tr>
        <w:tc>
          <w:tcPr>
            <w:tcW w:type="dxa" w:w="4500"/>
          </w:tcPr>
          <w:p>
            <w:r>
              <w:t xml:space="preserve">Penemuan kasus</w:t>
            </w:r>
          </w:p>
        </w:tc>
        <w:tc>
          <w:tcPr>
            <w:tcW w:type="dxa" w:w="4500"/>
          </w:tcPr>
          <w:p>
            <w:r>
              <w:t xml:space="preserve">Skrining gejala pada pasien dan kontak serumah/erat</w:t>
            </w:r>
          </w:p>
        </w:tc>
      </w:tr>
      <w:tr>
        <w:tc>
          <w:tcPr>
            <w:tcW w:type="dxa" w:w="4500"/>
          </w:tcPr>
          <w:p>
            <w:r>
              <w:t xml:space="preserve">Diagnosis</w:t>
            </w:r>
          </w:p>
        </w:tc>
        <w:tc>
          <w:tcPr>
            <w:tcW w:type="dxa" w:w="4500"/>
          </w:tcPr>
          <w:p>
            <w:r>
              <w:t xml:space="preserve">Pemeriksaan sesuai alur nasional yang berlaku</w:t>
            </w:r>
          </w:p>
        </w:tc>
      </w:tr>
      <w:tr>
        <w:tc>
          <w:tcPr>
            <w:tcW w:type="dxa" w:w="4500"/>
          </w:tcPr>
          <w:p>
            <w:r>
              <w:t xml:space="preserve">Pengobatan</w:t>
            </w:r>
          </w:p>
        </w:tc>
        <w:tc>
          <w:tcPr>
            <w:tcW w:type="dxa" w:w="4500"/>
          </w:tcPr>
          <w:p>
            <w:r>
              <w:t xml:space="preserve">Pemantauan kepatuhan, pengawas minum obat, deteksi efek samping</w:t>
            </w:r>
          </w:p>
        </w:tc>
      </w:tr>
      <w:tr>
        <w:tc>
          <w:tcPr>
            <w:tcW w:type="dxa" w:w="4500"/>
          </w:tcPr>
          <w:p>
            <w:r>
              <w:t xml:space="preserve">Pelacakan kontak</w:t>
            </w:r>
          </w:p>
        </w:tc>
        <w:tc>
          <w:tcPr>
            <w:tcW w:type="dxa" w:w="4500"/>
          </w:tcPr>
          <w:p>
            <w:r>
              <w:t xml:space="preserve">Skrining anggota keluarga dan kontak erat lain</w:t>
            </w:r>
          </w:p>
        </w:tc>
      </w:tr>
      <w:tr>
        <w:tc>
          <w:tcPr>
            <w:tcW w:type="dxa" w:w="4500"/>
          </w:tcPr>
          <w:p>
            <w:r>
              <w:t xml:space="preserve">Evaluasi keberhasilan</w:t>
            </w:r>
          </w:p>
        </w:tc>
        <w:tc>
          <w:tcPr>
            <w:tcW w:type="dxa" w:w="4500"/>
          </w:tcPr>
          <w:p>
            <w:r>
              <w:t xml:space="preserve">Pemantauan hingga dinyatakan tuntas sesuai kriteria nasional</w:t>
            </w:r>
          </w:p>
        </w:tc>
      </w:tr>
    </w:tbl>
    <w:p>
      <w:pPr>
        <w:spacing w:after="160"/>
      </w:pPr>
    </w:p>
    <w:p>
      <w:pPr>
        <w:pStyle w:val="Heading1"/>
        <w:spacing w:after="150" w:before="300"/>
      </w:pPr>
      <w:r>
        <w:t xml:space="preserve">BAB IV — DIARE</w:t>
      </w:r>
    </w:p>
    <w:p>
      <w:pPr>
        <w:spacing w:after="160"/>
        <w:jc w:val="both"/>
      </w:pPr>
      <w:r>
        <w:t xml:space="preserve">Tata laksana diare di layanan primer menekankan penilaian derajat dehidrasi sebagai prioritas utama, rehidrasi sesuai derajatnya, edukasi keluarga tentang tanda bahaya, serta kewaspadaan rasional terhadap penggunaan antibiotik. Pada anak, pendekatan ini terintegrasi dengan prinsip Manajemen Terpadu Balita Sakit yang dibahas lebih lanjut pada Buku Tematik Kesehatan Ibu, Anak, dan Remaja.</w:t>
      </w:r>
    </w:p>
    <w:p>
      <w:pPr>
        <w:pStyle w:val="Heading1"/>
        <w:spacing w:after="150" w:before="300"/>
      </w:pPr>
      <w:r>
        <w:t xml:space="preserve">BAB V — DEMAM BERDARAH DENGUE</w:t>
      </w:r>
    </w:p>
    <w:p>
      <w:pPr>
        <w:spacing w:after="160"/>
        <w:jc w:val="both"/>
      </w:pPr>
      <w:r>
        <w:t xml:space="preserve">Demam berdarah dengue menuntut kewaspadaan klinis tinggi di layanan primer karena perjalanan penyakitnya yang dapat memburuk cepat. Peran dokter layanan primer mencakup pengenalan tanda bahaya, pemantauan berkala pada fase kritis, keputusan rujukan yang tepat waktu, serta edukasi keluarga dan komunitas tentang pengendalian vektor sebagai bagian dari peran Community Leader (lihat Buku Utama, Bab IV).</w:t>
      </w:r>
    </w:p>
    <w:p>
      <w:pPr>
        <w:pStyle w:val="Heading1"/>
        <w:spacing w:after="150" w:before="300"/>
      </w:pPr>
      <w:r>
        <w:t xml:space="preserve">BAB VI — PERAN SURVEILANS DAN KESIAGAAN WABAH DI LAYANAN PRIMER</w:t>
      </w:r>
    </w:p>
    <w:p>
      <w:pPr>
        <w:spacing w:after="160"/>
        <w:jc w:val="both"/>
      </w:pPr>
      <w:r>
        <w:t xml:space="preserve">Sebagai simpul terdepan sistem kesehatan, layanan primer berperan dalam deteksi dini pola kasus yang tidak lazim serta pelaporan sesuai sistem surveilans kesehatan masyarakat setempat, sejalan dengan Area Kompetensi e (landasan ilmiah kedokteran komunitas dan kesehatan masyarakat) yang dibahas lebih rinci pada Buku Tematik 8.</w:t>
      </w:r>
    </w:p>
    <w:p>
      <w:pPr>
        <w:pStyle w:val="Heading1"/>
        <w:spacing w:after="150" w:before="300"/>
      </w:pPr>
      <w:r>
        <w:t xml:space="preserve">BAB VII — PENUTUP</w:t>
      </w:r>
    </w:p>
    <w:p>
      <w:pPr>
        <w:spacing w:after="160"/>
        <w:jc w:val="both"/>
      </w:pPr>
      <w:r>
        <w:t xml:space="preserve">Pengelolaan penyakit infeksi dan tropis di layanan primer menuntut keseimbangan antara tata laksana kasus individu, kewaspadaan tanda bahaya, dan tanggung jawab terhadap kesehatan komunitas — ketiganya menjadi benang merah yang berlanjut ke buku-buku tematik berikutnya.</w:t>
      </w:r>
    </w:p>
    <w:p>
      <w:pPr>
        <w:pStyle w:val="Heading2"/>
        <w:spacing w:after="120" w:before="250"/>
      </w:pPr>
      <w:r>
        <w:t xml:space="preserve">Glosarium</w:t>
      </w:r>
    </w:p>
    <w:p>
      <w:pPr>
        <w:spacing w:after="90"/>
      </w:pPr>
      <w:r>
        <w:rPr>
          <w:b/>
          <w:bCs/>
        </w:rPr>
        <w:t xml:space="preserve">Pengawas Minum Obat — </w:t>
      </w:r>
      <w:r>
        <w:t xml:space="preserve">Individu yang ditunjuk untuk memantau kepatuhan pasien tuberkulosis dalam menjalani pengobatan.</w:t>
      </w:r>
    </w:p>
    <w:p>
      <w:pPr>
        <w:spacing w:after="90"/>
      </w:pPr>
      <w:r>
        <w:rPr>
          <w:b/>
          <w:bCs/>
        </w:rPr>
        <w:t xml:space="preserve">Manajemen Terpadu Balita Sakit — </w:t>
      </w:r>
      <w:r>
        <w:t xml:space="preserve">Pendekatan tata laksana terintegrasi untuk balita sakit di layanan primer.</w:t>
      </w:r>
    </w:p>
    <w:p>
      <w:pPr>
        <w:spacing w:after="90"/>
      </w:pPr>
      <w:r>
        <w:rPr>
          <w:b/>
          <w:bCs/>
        </w:rPr>
        <w:t xml:space="preserve">Surveilans Kesehatan Masyarakat — </w:t>
      </w:r>
      <w:r>
        <w:t xml:space="preserve">Sistem pemantauan berkelanjutan pola penyakit untuk deteksi dini dan respons wabah.</w:t>
      </w:r>
    </w:p>
    <w:p>
      <w:pPr>
        <w:pStyle w:val="Heading2"/>
        <w:spacing w:after="120" w:before="250"/>
      </w:pPr>
      <w:r>
        <w:t xml:space="preserve">Daftar Pustaka</w:t>
      </w:r>
    </w:p>
    <w:p>
      <w:pPr>
        <w:spacing w:after="90"/>
        <w:ind w:left="360" w:hanging="360"/>
      </w:pPr>
      <w:r>
        <w:t xml:space="preserve">Konsil Kedokteran Indonesia. Peraturan Konsil Kedokteran Indonesia Nomor 65 Tahun 2019.</w:t>
      </w:r>
    </w:p>
    <w:p>
      <w:pPr>
        <w:spacing w:after="90"/>
        <w:ind w:left="360" w:hanging="360"/>
      </w:pPr>
      <w:r>
        <w:t xml:space="preserve">Catatan: algoritma tata laksana tuberkulosis, ISPA/pneumonia, diare, dan dengue dalam buku ini bersifat umum; pembaca disarankan merujuk pedoman program pengendalian penyakit Kementerian Kesehatan RI edisi berlaku.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2026-07-15T05:18:29.678Z</dcterms:created>
  <dcterms:modified xsi:type="dcterms:W3CDTF">2026-07-15T05:18:29.678Z</dcterms:modified>
</cp:coreProperties>
</file>

<file path=docProps/custom.xml><?xml version="1.0" encoding="utf-8"?>
<Properties xmlns="http://schemas.openxmlformats.org/officeDocument/2006/custom-properties" xmlns:vt="http://schemas.openxmlformats.org/officeDocument/2006/docPropsVTypes"/>
</file>