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Dokumen 4 dari Klaster Layanan Primer — Ekosistem Buku Pendidikan Dokter Spesialis Kedokteran Keluarga Layanan Primer (SpKKLP)</w:t>
      </w:r>
    </w:p>
    <w:p>
      <w:pPr>
        <w:spacing w:after="200"/>
      </w:pPr>
    </w:p>
    <w:p>
      <w:pPr>
        <w:jc w:val="center"/>
      </w:pPr>
      <w:r>
        <w:rPr>
          <w:b/>
          <w:bCs/>
          <w:sz w:val="36"/>
          <w:szCs w:val="36"/>
        </w:rPr>
        <w:t xml:space="preserve">Matriks Kewenangan Klinis Bertingkat Peserta Didik (Tahun I–IV)</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TUJUAN MATRIKS KEWENANGAN</w:t>
      </w:r>
    </w:p>
    <w:p>
      <w:pPr>
        <w:spacing w:after="160"/>
        <w:jc w:val="both"/>
      </w:pPr>
      <w:r>
        <w:t xml:space="preserve">Dokumen ini mengoperasionalkan prinsip pembelajaran bertahap (Buku Utama, Bab VI) dan kerangka umum kewenangan klinis bertingkat (Dokumen 1, Bab VII) ke dalam matriks konkret per Area Kompetensi dan per tahun pendidikan, sebagai acuan tunggal bagi DPK dalam menentukan tingkat supervisi yang sesuai.</w:t>
      </w:r>
    </w:p>
    <w:p>
      <w:pPr>
        <w:pStyle w:val="Heading1"/>
        <w:spacing w:after="150" w:before="300"/>
      </w:pPr>
      <w:r>
        <w:t xml:space="preserve">BAB II — SKALA TINGKAT KEWENANGAN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Tingkat</w:t>
            </w:r>
          </w:p>
        </w:tc>
        <w:tc>
          <w:tcPr>
            <w:tcW w:type="dxa" w:w="4500"/>
            <w:shd w:fill="2C3A64" w:val="clear"/>
          </w:tcPr>
          <w:p>
            <w:r>
              <w:rPr>
                <w:b/>
                <w:bCs/>
                <w:color w:val="FFFFFF"/>
              </w:rPr>
              <w:t xml:space="preserve">Deskripsi</w:t>
            </w:r>
          </w:p>
        </w:tc>
      </w:tr>
      <w:tr>
        <w:tc>
          <w:tcPr>
            <w:tcW w:type="dxa" w:w="4500"/>
          </w:tcPr>
          <w:p>
            <w:r>
              <w:t xml:space="preserve">1 — Observasi</w:t>
            </w:r>
          </w:p>
        </w:tc>
        <w:tc>
          <w:tcPr>
            <w:tcW w:type="dxa" w:w="4500"/>
          </w:tcPr>
          <w:p>
            <w:r>
              <w:t xml:space="preserve">Peserta didik mengamati DPK melakukan tindakan/pengambilan keputusan</w:t>
            </w:r>
          </w:p>
        </w:tc>
      </w:tr>
      <w:tr>
        <w:tc>
          <w:tcPr>
            <w:tcW w:type="dxa" w:w="4500"/>
          </w:tcPr>
          <w:p>
            <w:r>
              <w:t xml:space="preserve">2 — Melakukan dengan Supervisi Langsung</w:t>
            </w:r>
          </w:p>
        </w:tc>
        <w:tc>
          <w:tcPr>
            <w:tcW w:type="dxa" w:w="4500"/>
          </w:tcPr>
          <w:p>
            <w:r>
              <w:t xml:space="preserve">Peserta didik melakukan dengan DPK hadir dan terlibat langsung</w:t>
            </w:r>
          </w:p>
        </w:tc>
      </w:tr>
      <w:tr>
        <w:tc>
          <w:tcPr>
            <w:tcW w:type="dxa" w:w="4500"/>
          </w:tcPr>
          <w:p>
            <w:r>
              <w:t xml:space="preserve">3 — Melakukan dengan Supervisi Tidak Langsung</w:t>
            </w:r>
          </w:p>
        </w:tc>
        <w:tc>
          <w:tcPr>
            <w:tcW w:type="dxa" w:w="4500"/>
          </w:tcPr>
          <w:p>
            <w:r>
              <w:t xml:space="preserve">Peserta didik melakukan secara mandiri, DPK tersedia untuk konsultasi</w:t>
            </w:r>
          </w:p>
        </w:tc>
      </w:tr>
      <w:tr>
        <w:tc>
          <w:tcPr>
            <w:tcW w:type="dxa" w:w="4500"/>
          </w:tcPr>
          <w:p>
            <w:r>
              <w:t xml:space="preserve">4 — Mandiri dengan Pelaporan</w:t>
            </w:r>
          </w:p>
        </w:tc>
        <w:tc>
          <w:tcPr>
            <w:tcW w:type="dxa" w:w="4500"/>
          </w:tcPr>
          <w:p>
            <w:r>
              <w:t xml:space="preserve">Peserta didik melakukan secara mandiri dan melaporkan hasil secara berkala</w:t>
            </w:r>
          </w:p>
        </w:tc>
      </w:tr>
    </w:tbl>
    <w:p>
      <w:pPr>
        <w:spacing w:after="160"/>
      </w:pPr>
    </w:p>
    <w:p>
      <w:pPr>
        <w:pBdr>
          <w:left w:val="single" w:color="A9812F" w:sz="24"/>
        </w:pBdr>
        <w:shd w:fill="FBEFD9" w:val="clear"/>
        <w:spacing w:after="200" w:before="100"/>
        <w:ind w:left="200"/>
      </w:pPr>
      <w:r>
        <w:rPr>
          <w:b/>
          <w:bCs/>
          <w:color w:val="8A6410"/>
        </w:rPr>
        <w:t xml:space="preserve">⚠ TINJAU TENAGA KESEHATAN — </w:t>
      </w:r>
      <w:r>
        <w:rPr>
          <w:i/>
          <w:iCs/>
        </w:rPr>
        <w:t xml:space="preserve">skala di atas adalah kerangka umum yang lazim dipakai pada pendidikan kedokteran berbasis kompetensi; penetapan tingkat definitif per capaian pembelajaran wajib disesuaikan dengan keputusan kolegium dan institusi penyelenggara.</w:t>
      </w:r>
    </w:p>
    <w:p>
      <w:pPr>
        <w:pStyle w:val="Heading1"/>
        <w:spacing w:after="150" w:before="300"/>
      </w:pPr>
      <w:r>
        <w:t xml:space="preserve">BAB III — MATRIKS PER AREA KOMPETENSI DAN TAHUN PENDIDIKAN (RINGKASAN)</w:t>
      </w:r>
    </w:p>
    <w:p>
      <w:pPr>
        <w:spacing w:after="160"/>
        <w:jc w:val="both"/>
      </w:pPr>
      <w:r>
        <w:t xml:space="preserve">Tabel berikut adalah ringkasan tingkat kewenangan yang diharapkan tercapai pada akhir setiap tahun pendidikan, untuk masing-masing Area Kompetensi sebagaimana diuraikan pada Buku Utama (U0, Bab III). Rincian per capaian pembelajaran spesifik (notasi mis. "1.1.2.3") disusun secara terpisah oleh institusi penyelenggara mengikuti kerangka ini.</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1800"/>
        <w:gridCol w:w="1800"/>
      </w:tblGrid>
      <w:tr>
        <w:tc>
          <w:tcPr>
            <w:tcW w:type="dxa" w:w="1800"/>
            <w:shd w:fill="2C3A64" w:val="clear"/>
          </w:tcPr>
          <w:p>
            <w:r>
              <w:rPr>
                <w:b/>
                <w:bCs/>
                <w:color w:val="FFFFFF"/>
              </w:rPr>
              <w:t xml:space="preserve">Area Kompetensi</w:t>
            </w:r>
          </w:p>
        </w:tc>
        <w:tc>
          <w:tcPr>
            <w:tcW w:type="dxa" w:w="1800"/>
            <w:shd w:fill="2C3A64" w:val="clear"/>
          </w:tcPr>
          <w:p>
            <w:r>
              <w:rPr>
                <w:b/>
                <w:bCs/>
                <w:color w:val="FFFFFF"/>
              </w:rPr>
              <w:t xml:space="preserve">Akhir Tahun I</w:t>
            </w:r>
          </w:p>
        </w:tc>
        <w:tc>
          <w:tcPr>
            <w:tcW w:type="dxa" w:w="1800"/>
            <w:shd w:fill="2C3A64" w:val="clear"/>
          </w:tcPr>
          <w:p>
            <w:r>
              <w:rPr>
                <w:b/>
                <w:bCs/>
                <w:color w:val="FFFFFF"/>
              </w:rPr>
              <w:t xml:space="preserve">Akhir Tahun II</w:t>
            </w:r>
          </w:p>
        </w:tc>
        <w:tc>
          <w:tcPr>
            <w:tcW w:type="dxa" w:w="1800"/>
            <w:shd w:fill="2C3A64" w:val="clear"/>
          </w:tcPr>
          <w:p>
            <w:r>
              <w:rPr>
                <w:b/>
                <w:bCs/>
                <w:color w:val="FFFFFF"/>
              </w:rPr>
              <w:t xml:space="preserve">Akhir Tahun III</w:t>
            </w:r>
          </w:p>
        </w:tc>
        <w:tc>
          <w:tcPr>
            <w:tcW w:type="dxa" w:w="1800"/>
            <w:shd w:fill="2C3A64" w:val="clear"/>
          </w:tcPr>
          <w:p>
            <w:r>
              <w:rPr>
                <w:b/>
                <w:bCs/>
                <w:color w:val="FFFFFF"/>
              </w:rPr>
              <w:t xml:space="preserve">Akhir Tahun IV</w:t>
            </w:r>
          </w:p>
        </w:tc>
      </w:tr>
      <w:tr>
        <w:tc>
          <w:tcPr>
            <w:tcW w:type="dxa" w:w="1800"/>
          </w:tcPr>
          <w:p>
            <w:r>
              <w:t xml:space="preserve">a — Etika, hukum, profesionalisme</w:t>
            </w:r>
          </w:p>
        </w:tc>
        <w:tc>
          <w:tcPr>
            <w:tcW w:type="dxa" w:w="1800"/>
          </w:tcPr>
          <w:p>
            <w:r>
              <w:t xml:space="preserve">2</w:t>
            </w:r>
          </w:p>
        </w:tc>
        <w:tc>
          <w:tcPr>
            <w:tcW w:type="dxa" w:w="1800"/>
          </w:tcPr>
          <w:p>
            <w:r>
              <w:t xml:space="preserve">3</w:t>
            </w:r>
          </w:p>
        </w:tc>
        <w:tc>
          <w:tcPr>
            <w:tcW w:type="dxa" w:w="1800"/>
          </w:tcPr>
          <w:p>
            <w:r>
              <w:t xml:space="preserve">4</w:t>
            </w:r>
          </w:p>
        </w:tc>
        <w:tc>
          <w:tcPr>
            <w:tcW w:type="dxa" w:w="1800"/>
          </w:tcPr>
          <w:p>
            <w:r>
              <w:t xml:space="preserve">4</w:t>
            </w:r>
          </w:p>
        </w:tc>
      </w:tr>
      <w:tr>
        <w:tc>
          <w:tcPr>
            <w:tcW w:type="dxa" w:w="1800"/>
          </w:tcPr>
          <w:p>
            <w:r>
              <w:t xml:space="preserve">b — Mawas diri, pengembangan diri</w:t>
            </w:r>
          </w:p>
        </w:tc>
        <w:tc>
          <w:tcPr>
            <w:tcW w:type="dxa" w:w="1800"/>
          </w:tcPr>
          <w:p>
            <w:r>
              <w:t xml:space="preserve">2</w:t>
            </w:r>
          </w:p>
        </w:tc>
        <w:tc>
          <w:tcPr>
            <w:tcW w:type="dxa" w:w="1800"/>
          </w:tcPr>
          <w:p>
            <w:r>
              <w:t xml:space="preserve">3</w:t>
            </w:r>
          </w:p>
        </w:tc>
        <w:tc>
          <w:tcPr>
            <w:tcW w:type="dxa" w:w="1800"/>
          </w:tcPr>
          <w:p>
            <w:r>
              <w:t xml:space="preserve">3</w:t>
            </w:r>
          </w:p>
        </w:tc>
        <w:tc>
          <w:tcPr>
            <w:tcW w:type="dxa" w:w="1800"/>
          </w:tcPr>
          <w:p>
            <w:r>
              <w:t xml:space="preserve">4</w:t>
            </w:r>
          </w:p>
        </w:tc>
      </w:tr>
      <w:tr>
        <w:tc>
          <w:tcPr>
            <w:tcW w:type="dxa" w:w="1800"/>
          </w:tcPr>
          <w:p>
            <w:r>
              <w:t xml:space="preserve">c — Komunikasi</w:t>
            </w:r>
          </w:p>
        </w:tc>
        <w:tc>
          <w:tcPr>
            <w:tcW w:type="dxa" w:w="1800"/>
          </w:tcPr>
          <w:p>
            <w:r>
              <w:t xml:space="preserve">2</w:t>
            </w:r>
          </w:p>
        </w:tc>
        <w:tc>
          <w:tcPr>
            <w:tcW w:type="dxa" w:w="1800"/>
          </w:tcPr>
          <w:p>
            <w:r>
              <w:t xml:space="preserve">3</w:t>
            </w:r>
          </w:p>
        </w:tc>
        <w:tc>
          <w:tcPr>
            <w:tcW w:type="dxa" w:w="1800"/>
          </w:tcPr>
          <w:p>
            <w:r>
              <w:t xml:space="preserve">4</w:t>
            </w:r>
          </w:p>
        </w:tc>
        <w:tc>
          <w:tcPr>
            <w:tcW w:type="dxa" w:w="1800"/>
          </w:tcPr>
          <w:p>
            <w:r>
              <w:t xml:space="preserve">4</w:t>
            </w:r>
          </w:p>
        </w:tc>
      </w:tr>
      <w:tr>
        <w:tc>
          <w:tcPr>
            <w:tcW w:type="dxa" w:w="1800"/>
          </w:tcPr>
          <w:p>
            <w:r>
              <w:t xml:space="preserve">d — Pengelolaan informasi</w:t>
            </w:r>
          </w:p>
        </w:tc>
        <w:tc>
          <w:tcPr>
            <w:tcW w:type="dxa" w:w="1800"/>
          </w:tcPr>
          <w:p>
            <w:r>
              <w:t xml:space="preserve">2</w:t>
            </w:r>
          </w:p>
        </w:tc>
        <w:tc>
          <w:tcPr>
            <w:tcW w:type="dxa" w:w="1800"/>
          </w:tcPr>
          <w:p>
            <w:r>
              <w:t xml:space="preserve">3</w:t>
            </w:r>
          </w:p>
        </w:tc>
        <w:tc>
          <w:tcPr>
            <w:tcW w:type="dxa" w:w="1800"/>
          </w:tcPr>
          <w:p>
            <w:r>
              <w:t xml:space="preserve">4</w:t>
            </w:r>
          </w:p>
        </w:tc>
        <w:tc>
          <w:tcPr>
            <w:tcW w:type="dxa" w:w="1800"/>
          </w:tcPr>
          <w:p>
            <w:r>
              <w:t xml:space="preserve">4</w:t>
            </w:r>
          </w:p>
        </w:tc>
      </w:tr>
      <w:tr>
        <w:tc>
          <w:tcPr>
            <w:tcW w:type="dxa" w:w="1800"/>
          </w:tcPr>
          <w:p>
            <w:r>
              <w:t xml:space="preserve">e — Landasan ilmiah &amp; komunitas</w:t>
            </w:r>
          </w:p>
        </w:tc>
        <w:tc>
          <w:tcPr>
            <w:tcW w:type="dxa" w:w="1800"/>
          </w:tcPr>
          <w:p>
            <w:r>
              <w:t xml:space="preserve">1-2</w:t>
            </w:r>
          </w:p>
        </w:tc>
        <w:tc>
          <w:tcPr>
            <w:tcW w:type="dxa" w:w="1800"/>
          </w:tcPr>
          <w:p>
            <w:r>
              <w:t xml:space="preserve">2-3</w:t>
            </w:r>
          </w:p>
        </w:tc>
        <w:tc>
          <w:tcPr>
            <w:tcW w:type="dxa" w:w="1800"/>
          </w:tcPr>
          <w:p>
            <w:r>
              <w:t xml:space="preserve">3</w:t>
            </w:r>
          </w:p>
        </w:tc>
        <w:tc>
          <w:tcPr>
            <w:tcW w:type="dxa" w:w="1800"/>
          </w:tcPr>
          <w:p>
            <w:r>
              <w:t xml:space="preserve">4</w:t>
            </w:r>
          </w:p>
        </w:tc>
      </w:tr>
      <w:tr>
        <w:tc>
          <w:tcPr>
            <w:tcW w:type="dxa" w:w="1800"/>
          </w:tcPr>
          <w:p>
            <w:r>
              <w:t xml:space="preserve">f — Keterampilan klinis kedokteran keluarga</w:t>
            </w:r>
          </w:p>
        </w:tc>
        <w:tc>
          <w:tcPr>
            <w:tcW w:type="dxa" w:w="1800"/>
          </w:tcPr>
          <w:p>
            <w:r>
              <w:t xml:space="preserve">2</w:t>
            </w:r>
          </w:p>
        </w:tc>
        <w:tc>
          <w:tcPr>
            <w:tcW w:type="dxa" w:w="1800"/>
          </w:tcPr>
          <w:p>
            <w:r>
              <w:t xml:space="preserve">2-3</w:t>
            </w:r>
          </w:p>
        </w:tc>
        <w:tc>
          <w:tcPr>
            <w:tcW w:type="dxa" w:w="1800"/>
          </w:tcPr>
          <w:p>
            <w:r>
              <w:t xml:space="preserve">3-4</w:t>
            </w:r>
          </w:p>
        </w:tc>
        <w:tc>
          <w:tcPr>
            <w:tcW w:type="dxa" w:w="1800"/>
          </w:tcPr>
          <w:p>
            <w:r>
              <w:t xml:space="preserve">4</w:t>
            </w:r>
          </w:p>
        </w:tc>
      </w:tr>
      <w:tr>
        <w:tc>
          <w:tcPr>
            <w:tcW w:type="dxa" w:w="1800"/>
          </w:tcPr>
          <w:p>
            <w:r>
              <w:t xml:space="preserve">g — Pengelolaan penyakit layanan primer</w:t>
            </w:r>
          </w:p>
        </w:tc>
        <w:tc>
          <w:tcPr>
            <w:tcW w:type="dxa" w:w="1800"/>
          </w:tcPr>
          <w:p>
            <w:r>
              <w:t xml:space="preserve">1-2 (kasus umum)</w:t>
            </w:r>
          </w:p>
        </w:tc>
        <w:tc>
          <w:tcPr>
            <w:tcW w:type="dxa" w:w="1800"/>
          </w:tcPr>
          <w:p>
            <w:r>
              <w:t xml:space="preserve">2-3 (komorbiditas ringan-sedang)</w:t>
            </w:r>
          </w:p>
        </w:tc>
        <w:tc>
          <w:tcPr>
            <w:tcW w:type="dxa" w:w="1800"/>
          </w:tcPr>
          <w:p>
            <w:r>
              <w:t xml:space="preserve">3 (kasus kompleks)</w:t>
            </w:r>
          </w:p>
        </w:tc>
        <w:tc>
          <w:tcPr>
            <w:tcW w:type="dxa" w:w="1800"/>
          </w:tcPr>
          <w:p>
            <w:r>
              <w:t xml:space="preserve">4 (kasus kompleks, termasuk keputusan rujukan mandiri)</w:t>
            </w:r>
          </w:p>
        </w:tc>
      </w:tr>
    </w:tbl>
    <w:p>
      <w:pPr>
        <w:spacing w:after="160"/>
      </w:pPr>
    </w:p>
    <w:p>
      <w:pPr>
        <w:pStyle w:val="Heading1"/>
        <w:spacing w:after="150" w:before="300"/>
      </w:pPr>
      <w:r>
        <w:t xml:space="preserve">BAB IV — MEKANISME KENAIKAN TINGKAT KEWENANGAN</w:t>
      </w:r>
    </w:p>
    <w:p>
      <w:pPr>
        <w:spacing w:after="160"/>
        <w:jc w:val="both"/>
      </w:pPr>
      <w:r>
        <w:t xml:space="preserve">Kenaikan tingkat kewenangan tidak otomatis mengikuti kalender akademik semata, melainkan didasarkan pada bukti pencapaian kompetensi melalui evaluasi terdokumentasi (Dokumen 6), rekomendasi DPK, dan persetujuan unit fungsional pendidikan (Dokumen 1, Bab IV). Peserta didik dapat mencapai tingkat kewenangan lebih tinggi lebih awal pada area tertentu bila bukti kompetensi memadai, dan sebaliknya tetap pada tingkat lebih rendah bila diperlukan.</w:t>
      </w:r>
    </w:p>
    <w:p>
      <w:pPr>
        <w:pStyle w:val="Heading1"/>
        <w:spacing w:after="150" w:before="300"/>
      </w:pPr>
      <w:r>
        <w:t xml:space="preserve">BAB V — PENANGANAN KETIDAKSESUAIAN CAPAIAN</w:t>
      </w:r>
    </w:p>
    <w:p>
      <w:pPr>
        <w:spacing w:after="160"/>
        <w:jc w:val="both"/>
      </w:pPr>
      <w:r>
        <w:t xml:space="preserve">Bila peserta didik belum mencapai tingkat kewenangan yang diharapkan pada suatu tahun pendidikan, unit fungsional pendidikan menyusun rencana pembelajaran tambahan yang terfokus, tanpa mengurangi keselamatan pasien dengan tetap mempertahankan tingkat supervisi sesuai capaian aktual.</w:t>
      </w:r>
    </w:p>
    <w:p>
      <w:pPr>
        <w:pStyle w:val="Heading1"/>
        <w:spacing w:after="150" w:before="300"/>
      </w:pPr>
      <w:r>
        <w:t xml:space="preserve">BAB VI — PENUTUP</w:t>
      </w:r>
    </w:p>
    <w:p>
      <w:pPr>
        <w:spacing w:after="160"/>
        <w:jc w:val="both"/>
      </w:pPr>
      <w:r>
        <w:t xml:space="preserve">Matriks ini ditinjau ulang secara berkala oleh institusi penyelenggara bersama wahana pendidikan, mengikuti perkembangan Standar Kompetensi dan pengalaman implementasi di lapangan.</w:t>
      </w:r>
    </w:p>
    <w:p>
      <w:pPr>
        <w:pStyle w:val="Heading2"/>
        <w:spacing w:after="120" w:before="250"/>
      </w:pPr>
      <w:r>
        <w:t xml:space="preserve">Glosarium</w:t>
      </w:r>
    </w:p>
    <w:p>
      <w:pPr>
        <w:spacing w:after="90"/>
      </w:pPr>
      <w:r>
        <w:rPr>
          <w:b/>
          <w:bCs/>
        </w:rPr>
        <w:t xml:space="preserve">Matriks Kewenangan — </w:t>
      </w:r>
      <w:r>
        <w:t xml:space="preserve">Pemetaan tingkat kewenangan klinis peserta didik per Area Kompetensi dan tahap pendidikan.</w:t>
      </w:r>
    </w:p>
    <w:p>
      <w:pPr>
        <w:spacing w:after="90"/>
      </w:pPr>
      <w:r>
        <w:rPr>
          <w:b/>
          <w:bCs/>
        </w:rPr>
        <w:t xml:space="preserve">Evaluasi Terdokumentasi — </w:t>
      </w:r>
      <w:r>
        <w:t xml:space="preserve">Penilaian kompetensi yang dicatat secara resmi menggunakan instrumen baku.</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Dokumen 1 — Pedoman Pendidikan Klinis Peserta Didik PPDS KKLP di Wahana Layanan Primer.</w:t>
      </w:r>
    </w:p>
    <w:p>
      <w:pPr>
        <w:spacing w:after="90"/>
        <w:ind w:left="360" w:hanging="360"/>
      </w:pPr>
      <w:r>
        <w:t xml:space="preserve">Dokumen 2 — SPO Supervisi dan Eskalasi Klinis Peserta Didik PPDS KKLP.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2026-07-15T05:18:33.063Z</dcterms:created>
  <dcterms:modified xsi:type="dcterms:W3CDTF">2026-07-15T05:18:33.063Z</dcterms:modified>
</cp:coreProperties>
</file>

<file path=docProps/custom.xml><?xml version="1.0" encoding="utf-8"?>
<Properties xmlns="http://schemas.openxmlformats.org/officeDocument/2006/custom-properties" xmlns:vt="http://schemas.openxmlformats.org/officeDocument/2006/docPropsVTypes"/>
</file>