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Tematik 1 dari Klaster Digital — Ekosistem Buku Pendidikan Dokter Spesialis Kedokteran Keluarga Layanan Primer (SpKKLP)</w:t>
      </w:r>
    </w:p>
    <w:p>
      <w:pPr>
        <w:spacing w:after="200"/>
      </w:pPr>
    </w:p>
    <w:p>
      <w:pPr>
        <w:jc w:val="center"/>
      </w:pPr>
      <w:r>
        <w:rPr>
          <w:b/>
          <w:bCs/>
          <w:sz w:val="36"/>
          <w:szCs w:val="36"/>
        </w:rPr>
        <w:t xml:space="preserve">Keterampilan Klinis Dasar Kedokteran Keluarga: Pendekatan Holistik dan Berpusat pada Pasien</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PENDAHULUAN: MENGAPA PENDEKATAN HOLISTIK MENJADI DASAR</w:t>
      </w:r>
    </w:p>
    <w:p>
      <w:pPr>
        <w:spacing w:after="160"/>
        <w:jc w:val="both"/>
      </w:pPr>
      <w:r>
        <w:t xml:space="preserve">Buku ini adalah fondasi akademik Klaster Digital, membahas Area Kompetensi f (keterampilan klinis kedokteran keluarga) sebagaimana diuraikan pada Buku Utama (U0). Berbeda dari kedokteran spesialistik berbasis organ atau sistem tunggal, kedokteran keluarga memandang pasien sebagai individu yang tidak terlepas dari konteks keluarga, lingkungan, dan budayanya. Prinsip inilah yang membedakan pendekatan dokter spesialis kedokteran keluarga layanan primer dari dokter spesialis lain.</w:t>
      </w:r>
    </w:p>
    <w:p>
      <w:pPr>
        <w:pBdr>
          <w:left w:val="single" w:color="A9812F" w:sz="18"/>
        </w:pBdr>
        <w:spacing w:after="200" w:before="100"/>
        <w:ind w:left="480"/>
      </w:pPr>
      <w:r>
        <w:rPr>
          <w:i/>
          <w:iCs/>
          <w:color w:val="5B6478"/>
        </w:rPr>
        <w:t xml:space="preserve">Pelayanan kedokteran keluarga bersifat komprehensif, kontinu, terkoordinasi, personal, mempertimbangkan keluarga, komunitas, dan lingkungannya, menjunjung tinggi etika dan hukum, serta sadar biaya dan sadar mutu.</w:t>
      </w:r>
    </w:p>
    <w:p>
      <w:pPr>
        <w:spacing w:after="160"/>
        <w:jc w:val="both"/>
      </w:pPr>
      <w:r>
        <w:t xml:space="preserve">Bab-bab selanjutnya membahas perangkat klinis dasar yang membedakan pendekatan ini: genogram, family APGAR, family circle, family life cycle, dan patient-centered clinical method — seluruhnya menjadi keterampilan yang wajib dikuasai peserta didik sejak tahun pertama pendidikan.</w:t>
      </w:r>
    </w:p>
    <w:p>
      <w:pPr>
        <w:pStyle w:val="Heading1"/>
        <w:spacing w:after="150" w:before="300"/>
      </w:pPr>
      <w:r>
        <w:t xml:space="preserve">BAB II — GENOGRAM SEBAGAI PETA KELUARGA</w:t>
      </w:r>
    </w:p>
    <w:p>
      <w:pPr>
        <w:spacing w:after="160"/>
        <w:jc w:val="both"/>
      </w:pPr>
      <w:r>
        <w:t xml:space="preserve">Genogram adalah representasi grafis struktur keluarga lintas generasi (umumnya tiga generasi) yang mencantumkan hubungan biologis, status kesehatan, dan pola relasi antaranggota keluarga. Genogram membantu dokter memahami pola penyakit keturunan, dinamika keluarga, dan sumber dukungan sosial pasien secara cepat dan visual.</w:t>
      </w:r>
    </w:p>
    <w:p>
      <w:pPr>
        <w:spacing w:after="160"/>
        <w:jc w:val="both"/>
      </w:pPr>
      <w:r>
        <w:t xml:space="preserve">Simbol standar genogram mencakup kotak (laki-laki), lingkaran (perempuan), garis pernikahan, garis keturunan, serta arsiran atau simbol tambahan untuk kondisi kesehatan tertentu. Peserta didik dianjurkan membuat genogram pada kunjungan awal setiap keluarga binaan, dan memperbaruinya secara berkala.</w:t>
      </w:r>
    </w:p>
    <w:p>
      <w:pPr>
        <w:pStyle w:val="Heading1"/>
        <w:spacing w:after="150" w:before="300"/>
      </w:pPr>
      <w:r>
        <w:t xml:space="preserve">BAB III — FAMILY APGAR: MENGUKUR FUNGSI KELUARGA</w:t>
      </w:r>
    </w:p>
    <w:p>
      <w:pPr>
        <w:spacing w:after="160"/>
        <w:jc w:val="both"/>
      </w:pPr>
      <w:r>
        <w:t xml:space="preserve">Family APGAR adalah instrumen skrining sederhana untuk menilai persepsi anggota keluarga terhadap fungsi keluarganya, terdiri atas lima domain.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Domain</w:t>
            </w:r>
          </w:p>
        </w:tc>
        <w:tc>
          <w:tcPr>
            <w:tcW w:type="dxa" w:w="4500"/>
            <w:shd w:fill="2C3A64" w:val="clear"/>
          </w:tcPr>
          <w:p>
            <w:r>
              <w:rPr>
                <w:b/>
                <w:bCs/>
                <w:color w:val="FFFFFF"/>
              </w:rPr>
              <w:t xml:space="preserve">Pertanyaan Inti</w:t>
            </w:r>
          </w:p>
        </w:tc>
      </w:tr>
      <w:tr>
        <w:tc>
          <w:tcPr>
            <w:tcW w:type="dxa" w:w="4500"/>
          </w:tcPr>
          <w:p>
            <w:r>
              <w:t xml:space="preserve">Adaptation (Adaptasi)</w:t>
            </w:r>
          </w:p>
        </w:tc>
        <w:tc>
          <w:tcPr>
            <w:tcW w:type="dxa" w:w="4500"/>
          </w:tcPr>
          <w:p>
            <w:r>
              <w:t xml:space="preserve">Sejauh mana saya puas dengan bantuan yang saya terima dari keluarga saat menghadapi masalah?</w:t>
            </w:r>
          </w:p>
        </w:tc>
      </w:tr>
      <w:tr>
        <w:tc>
          <w:tcPr>
            <w:tcW w:type="dxa" w:w="4500"/>
          </w:tcPr>
          <w:p>
            <w:r>
              <w:t xml:space="preserve">Partnership (Kemitraan)</w:t>
            </w:r>
          </w:p>
        </w:tc>
        <w:tc>
          <w:tcPr>
            <w:tcW w:type="dxa" w:w="4500"/>
          </w:tcPr>
          <w:p>
            <w:r>
              <w:t xml:space="preserve">Sejauh mana saya puas dengan cara keluarga membahas hal-hal dan berbagi masalah dengan saya?</w:t>
            </w:r>
          </w:p>
        </w:tc>
      </w:tr>
      <w:tr>
        <w:tc>
          <w:tcPr>
            <w:tcW w:type="dxa" w:w="4500"/>
          </w:tcPr>
          <w:p>
            <w:r>
              <w:t xml:space="preserve">Growth (Pertumbuhan)</w:t>
            </w:r>
          </w:p>
        </w:tc>
        <w:tc>
          <w:tcPr>
            <w:tcW w:type="dxa" w:w="4500"/>
          </w:tcPr>
          <w:p>
            <w:r>
              <w:t xml:space="preserve">Sejauh mana saya puas bahwa keluarga menerima dan mendukung keinginan saya untuk beraktivitas atau berkembang?</w:t>
            </w:r>
          </w:p>
        </w:tc>
      </w:tr>
      <w:tr>
        <w:tc>
          <w:tcPr>
            <w:tcW w:type="dxa" w:w="4500"/>
          </w:tcPr>
          <w:p>
            <w:r>
              <w:t xml:space="preserve">Affection (Kasih Sayang)</w:t>
            </w:r>
          </w:p>
        </w:tc>
        <w:tc>
          <w:tcPr>
            <w:tcW w:type="dxa" w:w="4500"/>
          </w:tcPr>
          <w:p>
            <w:r>
              <w:t xml:space="preserve">Sejauh mana saya puas dengan cara keluarga mengekspresikan kasih sayang dan merespons emosi saya?</w:t>
            </w:r>
          </w:p>
        </w:tc>
      </w:tr>
      <w:tr>
        <w:tc>
          <w:tcPr>
            <w:tcW w:type="dxa" w:w="4500"/>
          </w:tcPr>
          <w:p>
            <w:r>
              <w:t xml:space="preserve">Resolve (Kebersamaan)</w:t>
            </w:r>
          </w:p>
        </w:tc>
        <w:tc>
          <w:tcPr>
            <w:tcW w:type="dxa" w:w="4500"/>
          </w:tcPr>
          <w:p>
            <w:r>
              <w:t xml:space="preserve">Sejauh mana saya puas dengan cara keluarga dan saya berbagi waktu bersama?</w:t>
            </w:r>
          </w:p>
        </w:tc>
      </w:tr>
    </w:tbl>
    <w:p>
      <w:pPr>
        <w:spacing w:after="160"/>
      </w:pPr>
    </w:p>
    <w:p>
      <w:pPr>
        <w:spacing w:after="160"/>
        <w:jc w:val="both"/>
      </w:pPr>
      <w:r>
        <w:t xml:space="preserve">Setiap domain dinilai dengan skala tiga poin (hampir selalu, kadang-kadang, hampir tidak pernah), menghasilkan skor total yang mengelompokkan fungsi keluarga menjadi baik, disfungsi sedang, atau disfungsi berat. Instrumen ini bukan alat diagnostik tunggal, melainkan pintu masuk untuk penggalian lebih mendalam saat skor menunjukkan potensi disfungsi.</w:t>
      </w:r>
    </w:p>
    <w:p>
      <w:pPr>
        <w:pStyle w:val="Heading1"/>
        <w:spacing w:after="150" w:before="300"/>
      </w:pPr>
      <w:r>
        <w:t xml:space="preserve">BAB IV — FAMILY CIRCLE DAN FAMILY LIFE CYCLE</w:t>
      </w:r>
    </w:p>
    <w:p>
      <w:pPr>
        <w:spacing w:after="160"/>
        <w:jc w:val="both"/>
      </w:pPr>
      <w:r>
        <w:t xml:space="preserve">Family circle adalah diagram lingkaran yang menggambarkan kedekatan emosional dan pola interaksi antaranggota keluarga secara visual — pelengkap genogram yang lebih menekankan aspek struktur biologis. Family life cycle memetakan tahap perkembangan keluarga (mis. keluarga baru menikah, keluarga dengan anak kecil, keluarga dengan anak remaja, keluarga usia lanjut) beserta tugas perkembangan dan potensi krisis pada tiap tahap, yang membantu dokter mengantisipasi masalah kesehatan yang lazim muncul pada tahap tertentu.</w:t>
      </w:r>
    </w:p>
    <w:p>
      <w:pPr>
        <w:pStyle w:val="Heading1"/>
        <w:spacing w:after="150" w:before="300"/>
      </w:pPr>
      <w:r>
        <w:t xml:space="preserve">BAB V — PATIENT-CENTERED CLINICAL METHOD</w:t>
      </w:r>
    </w:p>
    <w:p>
      <w:pPr>
        <w:spacing w:after="160"/>
        <w:jc w:val="both"/>
      </w:pPr>
      <w:r>
        <w:t xml:space="preserve">Patient-Centered Clinical Method (PCCM) adalah kerangka konsultasi yang mengintegrasikan perspektif penyakit (disease) dari sudut pandang klinis dan perspektif sakit (illness) dari sudut pandang pasien — mencakup perasaan, pemahaman, dampak pada fungsi, dan harapan pasien terhadap konsultasi.</w:t>
      </w:r>
    </w:p>
    <w:p>
      <w:pPr>
        <w:pStyle w:val="ListParagraph"/>
        <w:numPr>
          <w:ilvl w:val="0"/>
          <w:numId w:val="1"/>
        </w:numPr>
        <w:spacing w:after="90"/>
      </w:pPr>
      <w:r>
        <w:t xml:space="preserve">Menggali riwayat penyakit sekaligus pengalaman sakit pasien secara bersamaan, bukan berurutan.</w:t>
      </w:r>
    </w:p>
    <w:p>
      <w:pPr>
        <w:pStyle w:val="ListParagraph"/>
        <w:numPr>
          <w:ilvl w:val="0"/>
          <w:numId w:val="1"/>
        </w:numPr>
        <w:spacing w:after="90"/>
      </w:pPr>
      <w:r>
        <w:t xml:space="preserve">Memahami keseluruhan diri pasien: konteks keluarga, pekerjaan, dan tahap kehidupan.</w:t>
      </w:r>
    </w:p>
    <w:p>
      <w:pPr>
        <w:pStyle w:val="ListParagraph"/>
        <w:numPr>
          <w:ilvl w:val="0"/>
          <w:numId w:val="1"/>
        </w:numPr>
        <w:spacing w:after="90"/>
      </w:pPr>
      <w:r>
        <w:t xml:space="preserve">Mencapai pemahaman bersama (shared understanding) tentang masalah dan rencana penanganan.</w:t>
      </w:r>
    </w:p>
    <w:p>
      <w:pPr>
        <w:pStyle w:val="ListParagraph"/>
        <w:numPr>
          <w:ilvl w:val="0"/>
          <w:numId w:val="1"/>
        </w:numPr>
        <w:spacing w:after="90"/>
      </w:pPr>
      <w:r>
        <w:t xml:space="preserve">Melibatkan pencegahan dan promosi kesehatan dalam setiap kontak klinis.</w:t>
      </w:r>
    </w:p>
    <w:p>
      <w:pPr>
        <w:pStyle w:val="ListParagraph"/>
        <w:numPr>
          <w:ilvl w:val="0"/>
          <w:numId w:val="1"/>
        </w:numPr>
        <w:spacing w:after="90"/>
      </w:pPr>
      <w:r>
        <w:t xml:space="preserve">Memperkuat hubungan dokter-pasien yang berkelanjutan sebagai bagian dari proses terapeutik itu sendiri.</w:t>
      </w:r>
    </w:p>
    <w:p>
      <w:pPr>
        <w:pStyle w:val="ListParagraph"/>
        <w:numPr>
          <w:ilvl w:val="0"/>
          <w:numId w:val="1"/>
        </w:numPr>
        <w:spacing w:after="90"/>
      </w:pPr>
      <w:r>
        <w:t xml:space="preserve">Bersikap realistis terhadap keterbatasan waktu, sumber daya, dan tim yang tersedia di layanan primer.</w:t>
      </w:r>
    </w:p>
    <w:p>
      <w:pPr>
        <w:pStyle w:val="Heading1"/>
        <w:spacing w:after="150" w:before="300"/>
      </w:pPr>
      <w:r>
        <w:t xml:space="preserve">BAB VI — INTEGRASI PERANGKAT KLINIS DALAM PRAKTIK SEHARI-HARI</w:t>
      </w:r>
    </w:p>
    <w:p>
      <w:pPr>
        <w:spacing w:after="160"/>
        <w:jc w:val="both"/>
      </w:pPr>
      <w:r>
        <w:t xml:space="preserve">Kelima perangkat pada bab-bab sebelumnya bukan alat administratif yang berdiri sendiri, melainkan kerangka berpikir yang terintegrasi dalam setiap konsultasi. Peserta didik tahun pertama dianjurkan berlatih menyusun genogram dan Family APGAR sebagai bagian rutin asesmen keluarga binaan, sebelum secara bertahap mengintegrasikan family life cycle dan PCCM ke dalam pengambilan keputusan klinis yang lebih kompleks pada tahun-tahun berikutnya — selaras dengan prinsip pembelajaran bertahap pada Buku Utama (U0) dan Matriks Kewenangan Klinis Bertingkat (Dokumen 4, Klaster Layanan Primer).</w:t>
      </w:r>
    </w:p>
    <w:p>
      <w:pPr>
        <w:pStyle w:val="Heading1"/>
        <w:spacing w:after="150" w:before="300"/>
      </w:pPr>
      <w:r>
        <w:t xml:space="preserve">BAB VII — PENUTUP</w:t>
      </w:r>
    </w:p>
    <w:p>
      <w:pPr>
        <w:spacing w:after="160"/>
        <w:jc w:val="both"/>
      </w:pPr>
      <w:r>
        <w:t xml:space="preserve">Penguasaan keterampilan klinis dasar dalam buku ini menjadi prasyarat konseptual bagi buku-buku tematik Klaster Digital berikutnya, yang akan membahas pengelolaan penyakit dan masalah kesehatan spesifik (Area Kompetensi g) dengan tetap menerapkan pendekatan holistik dan berpusat pada pasien yang telah dibangun di sini.</w:t>
      </w:r>
    </w:p>
    <w:p>
      <w:pPr>
        <w:pStyle w:val="Heading2"/>
        <w:spacing w:after="120" w:before="250"/>
      </w:pPr>
      <w:r>
        <w:t xml:space="preserve">Glosarium</w:t>
      </w:r>
    </w:p>
    <w:p>
      <w:pPr>
        <w:spacing w:after="90"/>
      </w:pPr>
      <w:r>
        <w:rPr>
          <w:b/>
          <w:bCs/>
        </w:rPr>
        <w:t xml:space="preserve">Genogram — </w:t>
      </w:r>
      <w:r>
        <w:t xml:space="preserve">Peta grafis struktur dan riwayat kesehatan keluarga lintas generasi.</w:t>
      </w:r>
    </w:p>
    <w:p>
      <w:pPr>
        <w:spacing w:after="90"/>
      </w:pPr>
      <w:r>
        <w:rPr>
          <w:b/>
          <w:bCs/>
        </w:rPr>
        <w:t xml:space="preserve">Family APGAR — </w:t>
      </w:r>
      <w:r>
        <w:t xml:space="preserve">Instrumen skrining fungsi keluarga berbasis lima domain: Adaptation, Partnership, Growth, Affection, Resolve.</w:t>
      </w:r>
    </w:p>
    <w:p>
      <w:pPr>
        <w:spacing w:after="90"/>
      </w:pPr>
      <w:r>
        <w:rPr>
          <w:b/>
          <w:bCs/>
        </w:rPr>
        <w:t xml:space="preserve">Family Circle — </w:t>
      </w:r>
      <w:r>
        <w:t xml:space="preserve">Diagram kedekatan emosional antaranggota keluarga.</w:t>
      </w:r>
    </w:p>
    <w:p>
      <w:pPr>
        <w:spacing w:after="90"/>
      </w:pPr>
      <w:r>
        <w:rPr>
          <w:b/>
          <w:bCs/>
        </w:rPr>
        <w:t xml:space="preserve">Family Life Cycle — </w:t>
      </w:r>
      <w:r>
        <w:t xml:space="preserve">Pemetaan tahap perkembangan keluarga beserta tugas dan potensi krisis pada tiap tahap.</w:t>
      </w:r>
    </w:p>
    <w:p>
      <w:pPr>
        <w:spacing w:after="90"/>
      </w:pPr>
      <w:r>
        <w:rPr>
          <w:b/>
          <w:bCs/>
        </w:rPr>
        <w:t xml:space="preserve">PCCM — </w:t>
      </w:r>
      <w:r>
        <w:t xml:space="preserve">Patient-Centered Clinical Method — kerangka konsultasi yang mengintegrasikan perspektif disease dan illness.</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 tentang Standar Pendidikan Profesi Dokter Spesialis Kedokteran Keluarga Layanan Primer.</w:t>
      </w:r>
    </w:p>
    <w:p>
      <w:pPr>
        <w:spacing w:after="90"/>
        <w:ind w:left="360" w:hanging="360"/>
      </w:pPr>
      <w:r>
        <w:t xml:space="preserve">Stewart M, et al. Patient-Centered Medicine: Transforming the Clinical Method.</w:t>
      </w:r>
    </w:p>
    <w:p>
      <w:pPr>
        <w:spacing w:after="90"/>
        <w:ind w:left="360" w:hanging="360"/>
      </w:pPr>
      <w:r>
        <w:t xml:space="preserve">Smilkstein G. The Family APGAR: A Proposal for a Family Function Test and Its Use by Physicians.</w:t>
      </w:r>
    </w:p>
    <w:p>
      <w:pPr>
        <w:spacing w:after="90"/>
        <w:ind w:left="360" w:hanging="360"/>
      </w:pPr>
      <w:r>
        <w:t xml:space="preserve">Catatan: buku ajar kedokteran keluarga nasional terbitan Kolegium Dokter Keluarga Indonesia belum dicantumkan sebagai entri baku pada edisi ini; pembaca disarankan menelusuri publikasi resmi Kolegium Dokter Keluarga Indonesia terkini sebagai pelengkap.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2026-07-15T05:18:28.598Z</dcterms:created>
  <dcterms:modified xsi:type="dcterms:W3CDTF">2026-07-15T05:18:28.598Z</dcterms:modified>
</cp:coreProperties>
</file>

<file path=docProps/custom.xml><?xml version="1.0" encoding="utf-8"?>
<Properties xmlns="http://schemas.openxmlformats.org/officeDocument/2006/custom-properties" xmlns:vt="http://schemas.openxmlformats.org/officeDocument/2006/docPropsVTypes"/>
</file>