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PERPUSTAKAAN DIGITAL ABBA</w:t>
      </w:r>
    </w:p>
    <w:p>
      <w:pPr>
        <w:jc w:val="center"/>
      </w:pPr>
      <w:r>
        <w:t xml:space="preserve">Jl. Kerinci Raya No. 9, Malang 65138</w:t>
      </w:r>
    </w:p>
    <w:p>
      <w:pPr>
        <w:spacing w:after="200"/>
      </w:pPr>
    </w:p>
    <w:p>
      <w:pPr>
        <w:jc w:val="center"/>
      </w:pPr>
      <w:r>
        <w:rPr>
          <w:sz w:val="20"/>
          <w:szCs w:val="20"/>
        </w:rPr>
        <w:t xml:space="preserve">Buku Tematik 5 dari Klaster Digital — Ekosistem Buku Pendidikan Dokter Spesialis Kedokteran Keluarga Layanan Primer (SpKKLP)</w:t>
      </w:r>
    </w:p>
    <w:p>
      <w:pPr>
        <w:spacing w:after="200"/>
      </w:pPr>
    </w:p>
    <w:p>
      <w:pPr>
        <w:jc w:val="center"/>
      </w:pPr>
      <w:r>
        <w:rPr>
          <w:b/>
          <w:bCs/>
          <w:sz w:val="36"/>
          <w:szCs w:val="36"/>
        </w:rPr>
        <w:t xml:space="preserve">Kesehatan Jiwa, Napza, dan Psikososial di Layanan Primer</w:t>
      </w:r>
    </w:p>
    <w:p>
      <w:pPr>
        <w:spacing w:after="400"/>
      </w:pPr>
    </w:p>
    <w:p>
      <w:pPr>
        <w:jc w:val="center"/>
      </w:pPr>
      <w:r>
        <w:t xml:space="preserve">Disusun oleh</w:t>
      </w:r>
    </w:p>
    <w:p>
      <w:pPr>
        <w:jc w:val="center"/>
      </w:pPr>
      <w:r>
        <w:rPr>
          <w:b/>
          <w:bCs/>
        </w:rPr>
        <w:t xml:space="preserve">Dr.dr. H. Budi Siswanto, Sp.OG, Subsp.Obginsos., SH., S.Kom.</w:t>
      </w:r>
    </w:p>
    <w:p>
      <w:pPr>
        <w:jc w:val="center"/>
      </w:pPr>
      <w:r>
        <w:t xml:space="preserve">2026</w:t>
      </w:r>
    </w:p>
    <w:p>
      <w:pPr>
        <w:pageBreakBefore/>
      </w:pPr>
    </w:p>
    <w:p>
      <w:pPr>
        <w:pStyle w:val="Heading1"/>
        <w:spacing w:after="150" w:before="300"/>
      </w:pPr>
      <w:r>
        <w:t xml:space="preserve">BAB I — MENGAPA KESEHATAN JIWA MENJADI TANGGUNG JAWAB LAYANAN PRIMER</w:t>
      </w:r>
    </w:p>
    <w:p>
      <w:pPr>
        <w:spacing w:after="160"/>
        <w:jc w:val="both"/>
      </w:pPr>
      <w:r>
        <w:t xml:space="preserve">Sebagian besar masalah kesehatan jiwa di masyarakat tidak pernah mencapai layanan spesialis kesehatan jiwa, melainkan pertama kali — dan seringkali satu-satunya — ditemui di layanan primer, sering dengan keluhan fisik yang menyamarkan masalah psikologis di baliknya. Dokter spesialis kedokteran keluarga layanan primer berperan penting dalam deteksi dini, tata laksana awal, dan rujukan tepat waktu.</w:t>
      </w:r>
    </w:p>
    <w:p>
      <w:pPr>
        <w:pBdr>
          <w:left w:val="single" w:color="A9812F" w:sz="24"/>
        </w:pBdr>
        <w:shd w:fill="FBEFD9" w:val="clear"/>
        <w:spacing w:after="200" w:before="100"/>
        <w:ind w:left="200"/>
      </w:pPr>
      <w:r>
        <w:rPr>
          <w:b/>
          <w:bCs/>
          <w:color w:val="8A6410"/>
        </w:rPr>
        <w:t xml:space="preserve">⚠ TINJAU TENAGA KESEHATAN — </w:t>
      </w:r>
      <w:r>
        <w:rPr>
          <w:i/>
          <w:iCs/>
        </w:rPr>
        <w:t xml:space="preserve">seluruh instrumen skrining dan ambang klasifikasi pada bab ini wajib ditinjau ulang oleh tenaga kesehatan berwenang sesuai pedoman nasional kesehatan jiwa terbaru sebelum dipakai sebagai acuan definitif. Struktur 7 Area Kompetensi dan kerangka penjenjangan kompetensi pada Perkonsil Nomor 65 Tahun 2019 telah diverifikasi terhadap salinan resmi yang dipublikasikan di situs Konsil Kedokteran Indonesia (kki.go.id); namun rincian kategori psikososial pada Lampiran IV (Daftar Penyakit Berdasarkan Tingkat Kemampuan) — termasuk butir kekerasan, ketergantungan napza, dan gangguan psikologis terkait penyakit kronis — belum ditelusuri satu per satu pada edisi ini dan wajib diverifikasi ulang oleh pembaca terhadap dokumen resmi sebelum dipakai sebagai acuan definitif.</w:t>
      </w:r>
    </w:p>
    <w:p>
      <w:pPr>
        <w:pStyle w:val="Heading1"/>
        <w:spacing w:after="150" w:before="300"/>
      </w:pPr>
      <w:r>
        <w:t xml:space="preserve">BAB II — DETEKSI DINI GANGGUAN JIWA UMUM</w:t>
      </w:r>
    </w:p>
    <w:p>
      <w:pPr>
        <w:spacing w:after="160"/>
        <w:jc w:val="both"/>
      </w:pPr>
      <w:r>
        <w:t xml:space="preserve">Gangguan jiwa umum — utamanya gangguan cemas dan depresi — kerap muncul dengan keluhan somatik seperti nyeri kepala kronik, gangguan pencernaan fungsional, atau kelelahan tak dapat dijelaskan. Kewaspadaan klinis terhadap pola ini, dipadukan dengan penggunaan instrumen skrining tervalidasi, memungkinkan deteksi dini tanpa harus menunggu pasien secara eksplisit mengeluhkan masalah kejiwaan.</w:t>
      </w:r>
    </w:p>
    <w:p>
      <w:pPr>
        <w:pStyle w:val="ListParagraph"/>
        <w:numPr>
          <w:ilvl w:val="0"/>
          <w:numId w:val="1"/>
        </w:numPr>
        <w:spacing w:after="90"/>
      </w:pPr>
      <w:r>
        <w:t xml:space="preserve">Kewaspadaan terhadap keluhan somatik berulang tanpa penjelasan organik yang memadai.</w:t>
      </w:r>
    </w:p>
    <w:p>
      <w:pPr>
        <w:pStyle w:val="ListParagraph"/>
        <w:numPr>
          <w:ilvl w:val="0"/>
          <w:numId w:val="1"/>
        </w:numPr>
        <w:spacing w:after="90"/>
      </w:pPr>
      <w:r>
        <w:t xml:space="preserve">Penggunaan pertanyaan penapisan sederhana pada kunjungan rutin kelompok berisiko.</w:t>
      </w:r>
    </w:p>
    <w:p>
      <w:pPr>
        <w:pStyle w:val="ListParagraph"/>
        <w:numPr>
          <w:ilvl w:val="0"/>
          <w:numId w:val="1"/>
        </w:numPr>
        <w:spacing w:after="90"/>
      </w:pPr>
      <w:r>
        <w:t xml:space="preserve">Penilaian ideasi bunuh diri secara langsung dan tanpa menghakimi bila ada kecurigaan risiko.</w:t>
      </w:r>
    </w:p>
    <w:p>
      <w:pPr>
        <w:pStyle w:val="ListParagraph"/>
        <w:numPr>
          <w:ilvl w:val="0"/>
          <w:numId w:val="1"/>
        </w:numPr>
        <w:spacing w:after="90"/>
      </w:pPr>
      <w:r>
        <w:t xml:space="preserve">Melibatkan keluarga dalam proses skrining dan dukungan, dengan tetap menjaga kerahasiaan pasien.</w:t>
      </w:r>
    </w:p>
    <w:p>
      <w:pPr>
        <w:pStyle w:val="Heading1"/>
        <w:spacing w:after="150" w:before="300"/>
      </w:pPr>
      <w:r>
        <w:t xml:space="preserve">BAB III — GANGGUAN PENGGUNAAN NAPZA</w:t>
      </w:r>
    </w:p>
    <w:p>
      <w:pPr>
        <w:spacing w:after="160"/>
        <w:jc w:val="both"/>
      </w:pPr>
      <w:r>
        <w:t xml:space="preserve">Layanan primer berperan dalam penapisan penggunaan zat berisiko, intervensi singkat pada penggunaan berisiko rendah-sedang, serta rujukan terkoordinasi untuk kasus ketergantungan. Pendekatan yang tidak menghakimi (non-judgmental) menjadi kunci keberhasilan intervensi pada area ini, mengingat stigma yang tinggi terhadap gangguan penggunaan napza di masyarakat.</w:t>
      </w:r>
    </w:p>
    <w:p>
      <w:pPr>
        <w:pStyle w:val="Heading1"/>
        <w:spacing w:after="150" w:before="300"/>
      </w:pPr>
      <w:r>
        <w:t xml:space="preserve">BAB IV — MASALAH PSIKOSOSIAL DALAM KONTEKS KELUARGA</w:t>
      </w:r>
    </w:p>
    <w:p>
      <w:pPr>
        <w:spacing w:after="160"/>
        <w:jc w:val="both"/>
      </w:pPr>
      <w:r>
        <w:t xml:space="preserve">Masalah psikososial — kekerasan dalam rumah tangga, konflik keluarga, tekanan ekonomi, kehilangan (grief) — sering menjadi akar dari keluhan kesehatan yang tampak fisik. Perangkat family-centered pada Buku Tematik 1 (genogram, family APGAR) menjadi alat penting untuk mengungkap konteks psikososial ini secara sistematis, bukan kebetulan.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shd w:fill="2C3A64" w:val="clear"/>
          </w:tcPr>
          <w:p>
            <w:r>
              <w:rPr>
                <w:b/>
                <w:bCs/>
                <w:color w:val="FFFFFF"/>
              </w:rPr>
              <w:t xml:space="preserve">Situasi</w:t>
            </w:r>
          </w:p>
        </w:tc>
        <w:tc>
          <w:tcPr>
            <w:tcW w:type="dxa" w:w="4500"/>
            <w:shd w:fill="2C3A64" w:val="clear"/>
          </w:tcPr>
          <w:p>
            <w:r>
              <w:rPr>
                <w:b/>
                <w:bCs/>
                <w:color w:val="FFFFFF"/>
              </w:rPr>
              <w:t xml:space="preserve">Peran Layanan Primer</w:t>
            </w:r>
          </w:p>
        </w:tc>
      </w:tr>
      <w:tr>
        <w:tc>
          <w:tcPr>
            <w:tcW w:type="dxa" w:w="4500"/>
          </w:tcPr>
          <w:p>
            <w:r>
              <w:t xml:space="preserve">Kecurigaan kekerasan dalam rumah tangga</w:t>
            </w:r>
          </w:p>
        </w:tc>
        <w:tc>
          <w:tcPr>
            <w:tcW w:type="dxa" w:w="4500"/>
          </w:tcPr>
          <w:p>
            <w:r>
              <w:t xml:space="preserve">Skrining aman, dokumentasi hati-hati, rujukan ke layanan perlindungan sesuai kebutuhan</w:t>
            </w:r>
          </w:p>
        </w:tc>
      </w:tr>
      <w:tr>
        <w:tc>
          <w:tcPr>
            <w:tcW w:type="dxa" w:w="4500"/>
          </w:tcPr>
          <w:p>
            <w:r>
              <w:t xml:space="preserve">Kehilangan/berduka berkepanjangan</w:t>
            </w:r>
          </w:p>
        </w:tc>
        <w:tc>
          <w:tcPr>
            <w:tcW w:type="dxa" w:w="4500"/>
          </w:tcPr>
          <w:p>
            <w:r>
              <w:t xml:space="preserve">Dukungan psikologis awal, pemantauan tanda depresi berkepanjangan</w:t>
            </w:r>
          </w:p>
        </w:tc>
      </w:tr>
      <w:tr>
        <w:tc>
          <w:tcPr>
            <w:tcW w:type="dxa" w:w="4500"/>
          </w:tcPr>
          <w:p>
            <w:r>
              <w:t xml:space="preserve">Tekanan ekonomi keluarga</w:t>
            </w:r>
          </w:p>
        </w:tc>
        <w:tc>
          <w:tcPr>
            <w:tcW w:type="dxa" w:w="4500"/>
          </w:tcPr>
          <w:p>
            <w:r>
              <w:t xml:space="preserve">Penggalian dampak pada kepatuhan pengobatan dan kesehatan anggota keluarga lain</w:t>
            </w:r>
          </w:p>
        </w:tc>
      </w:tr>
    </w:tbl>
    <w:p>
      <w:pPr>
        <w:spacing w:after="160"/>
      </w:pPr>
    </w:p>
    <w:p>
      <w:pPr>
        <w:pStyle w:val="Heading1"/>
        <w:spacing w:after="150" w:before="300"/>
      </w:pPr>
      <w:r>
        <w:t xml:space="preserve">BAB V — TATA LAKSANA AWAL DAN KRITERIA RUJUKAN</w:t>
      </w:r>
    </w:p>
    <w:p>
      <w:pPr>
        <w:spacing w:after="160"/>
        <w:jc w:val="both"/>
      </w:pPr>
      <w:r>
        <w:t xml:space="preserve">Dokter layanan primer memberikan tata laksana awal pada gangguan jiwa umum derajat ringan-sedang, sambil mengenali batas kewenangannya. Kriteria rujukan ke layanan kesehatan jiwa spesialistik mencakup risiko bunuh diri aktif, gejala psikotik, gangguan yang tidak membaik dengan tata laksana awal, dan kondisi yang memerlukan tata laksana farmakologis kompleks di luar kewenangan layanan primer.</w:t>
      </w:r>
    </w:p>
    <w:p>
      <w:pPr>
        <w:pStyle w:val="Heading1"/>
        <w:spacing w:after="150" w:before="300"/>
      </w:pPr>
      <w:r>
        <w:t xml:space="preserve">BAB VI — KESEHATAN JIWA PEMBERI LAYANAN</w:t>
      </w:r>
    </w:p>
    <w:p>
      <w:pPr>
        <w:spacing w:after="160"/>
        <w:jc w:val="both"/>
      </w:pPr>
      <w:r>
        <w:t xml:space="preserve">Bab ini juga menekankan pentingnya kesadaran diri dokter dan peserta didik terhadap kesehatan jiwanya sendiri (Area Kompetensi b — mawas diri dan pengembangan diri, Buku Utama), mengingat beban kerja dan paparan kasus emosional yang tinggi di layanan primer berisiko menimbulkan kelelahan (burnout) bila tidak dikelola.</w:t>
      </w:r>
    </w:p>
    <w:p>
      <w:pPr>
        <w:pStyle w:val="Heading1"/>
        <w:spacing w:after="150" w:before="300"/>
      </w:pPr>
      <w:r>
        <w:t xml:space="preserve">BAB VII — PENUTUP</w:t>
      </w:r>
    </w:p>
    <w:p>
      <w:pPr>
        <w:spacing w:after="160"/>
        <w:jc w:val="both"/>
      </w:pPr>
      <w:r>
        <w:t xml:space="preserve">Kesehatan jiwa dan psikososial bukan bidang terpisah dari layanan primer, melainkan dimensi yang menyertai hampir setiap kunjungan — sejalan dengan prinsip pendekatan holistik yang menjadi dasar seluruh ekosistem buku ini.</w:t>
      </w:r>
    </w:p>
    <w:p>
      <w:pPr>
        <w:pStyle w:val="Heading2"/>
        <w:spacing w:after="120" w:before="250"/>
      </w:pPr>
      <w:r>
        <w:t xml:space="preserve">Glosarium</w:t>
      </w:r>
    </w:p>
    <w:p>
      <w:pPr>
        <w:spacing w:after="90"/>
      </w:pPr>
      <w:r>
        <w:rPr>
          <w:b/>
          <w:bCs/>
        </w:rPr>
        <w:t xml:space="preserve">Gangguan Jiwa Umum — </w:t>
      </w:r>
      <w:r>
        <w:t xml:space="preserve">Istilah untuk gangguan cemas dan depresi yang lazim ditemui di layanan primer.</w:t>
      </w:r>
    </w:p>
    <w:p>
      <w:pPr>
        <w:spacing w:after="90"/>
      </w:pPr>
      <w:r>
        <w:rPr>
          <w:b/>
          <w:bCs/>
        </w:rPr>
        <w:t xml:space="preserve">Intervensi Singkat — </w:t>
      </w:r>
      <w:r>
        <w:t xml:space="preserve">Konseling terstruktur berdurasi singkat untuk penggunaan zat berisiko rendah-sedang.</w:t>
      </w:r>
    </w:p>
    <w:p>
      <w:pPr>
        <w:spacing w:after="90"/>
      </w:pPr>
      <w:r>
        <w:rPr>
          <w:b/>
          <w:bCs/>
        </w:rPr>
        <w:t xml:space="preserve">Burnout — </w:t>
      </w:r>
      <w:r>
        <w:t xml:space="preserve">Kelelahan emosional, fisik, dan mental akibat paparan stres kerja berkepanjangan.</w:t>
      </w:r>
    </w:p>
    <w:p>
      <w:pPr>
        <w:pStyle w:val="Heading2"/>
        <w:spacing w:after="120" w:before="250"/>
      </w:pPr>
      <w:r>
        <w:t xml:space="preserve">Daftar Pustaka</w:t>
      </w:r>
    </w:p>
    <w:p>
      <w:pPr>
        <w:spacing w:after="90"/>
        <w:ind w:left="360" w:hanging="360"/>
      </w:pPr>
      <w:r>
        <w:t xml:space="preserve">Konsil Kedokteran Indonesia. Peraturan Konsil Kedokteran Indonesia Nomor 65 Tahun 2019.</w:t>
      </w:r>
    </w:p>
    <w:p>
      <w:pPr>
        <w:spacing w:after="90"/>
        <w:ind w:left="360" w:hanging="360"/>
      </w:pPr>
      <w:r>
        <w:t xml:space="preserve">Catatan: instrumen skrining dan ambang klasifikasi kesehatan jiwa dalam buku ini bersifat umum; pembaca disarankan merujuk pedoman nasional kesehatan jiwa Kementerian Kesehatan RI dan PDSKJI (Perhimpunan Dokter Spesialis Kedokteran Jiwa Indonesia) edisi berlaku.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2026-07-15T05:18:30.229Z</dcterms:created>
  <dcterms:modified xsi:type="dcterms:W3CDTF">2026-07-15T05:18:30.229Z</dcterms:modified>
</cp:coreProperties>
</file>

<file path=docProps/custom.xml><?xml version="1.0" encoding="utf-8"?>
<Properties xmlns="http://schemas.openxmlformats.org/officeDocument/2006/custom-properties" xmlns:vt="http://schemas.openxmlformats.org/officeDocument/2006/docPropsVTypes"/>
</file>