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4 dari Klaster Digital — Ekosistem Buku Pendidikan Dokter Spesialis Kedokteran Keluarga Layanan Primer (SpKKLP)</w:t>
      </w:r>
    </w:p>
    <w:p>
      <w:pPr>
        <w:spacing w:after="200"/>
      </w:pPr>
    </w:p>
    <w:p>
      <w:pPr>
        <w:jc w:val="center"/>
      </w:pPr>
      <w:r>
        <w:rPr>
          <w:b/>
          <w:bCs/>
          <w:sz w:val="36"/>
          <w:szCs w:val="36"/>
        </w:rPr>
        <w:t xml:space="preserve">Kesehatan Ibu, Anak, dan Remaja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SIKLUS HIDUP SEBAGAI KERANGKA PELAYANAN</w:t>
      </w:r>
    </w:p>
    <w:p>
      <w:pPr>
        <w:spacing w:after="160"/>
        <w:jc w:val="both"/>
      </w:pPr>
      <w:r>
        <w:t xml:space="preserve">Kesehatan ibu, anak, dan remaja adalah salah satu pilar utama layanan primer, dan menjadi contoh nyata penerapan family life cycle (Buku Tematik 1) dalam praktik sehari-hari. Buku ini membahas empat area layanan yang saling terkait: Manajemen Terpadu Balita Sakit, imunisasi, kesehatan reproduksi, dan keluarga berencana.</w:t>
      </w:r>
    </w:p>
    <w:p>
      <w:pPr>
        <w:pBdr>
          <w:left w:val="single" w:color="A9812F" w:sz="24"/>
        </w:pBdr>
        <w:shd w:fill="FBEFD9" w:val="clear"/>
        <w:spacing w:after="200" w:before="100"/>
        <w:ind w:left="200"/>
      </w:pPr>
      <w:r>
        <w:rPr>
          <w:b/>
          <w:bCs/>
          <w:color w:val="8A6410"/>
        </w:rPr>
        <w:t xml:space="preserve">⚠ TINJAU TENAGA KESEHATAN — </w:t>
      </w:r>
      <w:r>
        <w:rPr>
          <w:i/>
          <w:iCs/>
        </w:rPr>
        <w:t xml:space="preserve">seluruh jadwal imunisasi, ambang diagnostik MTBS, dan pilihan kontrasepsi wajib ditinjau ulang sesuai pedoman nasional terbaru Kementerian Kesehatan RI dan IDAI sebelum dipakai sebagai acuan definitif. Struktur 7 Area Kompetensi dan kerangka penjenjangan kompetensi pada Perkonsil Nomor 65 Tahun 2019 telah diverifikasi terhadap salinan resmi yang dipublikasikan di situs Konsil Kedokteran Indonesia (kki.go.id); namun rincian tabel Lampiran II dan Lampiran IV untuk tiap masalah kesehatan ibu-anak belum ditelusuri satu per satu pada edisi ini dan wajib diverifikasi ulang oleh pembaca terhadap dokumen resmi sebelum dipakai sebagai acuan definitif.</w:t>
      </w:r>
    </w:p>
    <w:p>
      <w:pPr>
        <w:pStyle w:val="Heading1"/>
        <w:spacing w:after="150" w:before="300"/>
      </w:pPr>
      <w:r>
        <w:t xml:space="preserve">BAB II — MANAJEMEN TERPADU BALITA SAKIT (MTBS)</w:t>
      </w:r>
    </w:p>
    <w:p>
      <w:pPr>
        <w:spacing w:after="160"/>
        <w:jc w:val="both"/>
      </w:pPr>
      <w:r>
        <w:t xml:space="preserve">MTBS adalah pendekatan terintegrasi untuk menilai dan menata laksana balita sakit di layanan primer, mencakup penilaian tanda bahaya umum, klasifikasi penyakit utama (batuk/kesulitan bernapas, diare, demam, masalah telinga, status gizi, dan status imunisasi) dalam satu kunjungan yang efisien namun menyeluruh.</w:t>
      </w:r>
    </w:p>
    <w:p>
      <w:pPr>
        <w:pStyle w:val="ListParagraph"/>
        <w:numPr>
          <w:ilvl w:val="0"/>
          <w:numId w:val="1"/>
        </w:numPr>
        <w:spacing w:after="90"/>
      </w:pPr>
      <w:r>
        <w:t xml:space="preserve">Penilaian tanda bahaya umum sebagai langkah pertama setiap kunjungan balita sakit.</w:t>
      </w:r>
    </w:p>
    <w:p>
      <w:pPr>
        <w:pStyle w:val="ListParagraph"/>
        <w:numPr>
          <w:ilvl w:val="0"/>
          <w:numId w:val="1"/>
        </w:numPr>
        <w:spacing w:after="90"/>
      </w:pPr>
      <w:r>
        <w:t xml:space="preserve">Klasifikasi berdasarkan kombinasi gejala, bukan diagnosis tunggal.</w:t>
      </w:r>
    </w:p>
    <w:p>
      <w:pPr>
        <w:pStyle w:val="ListParagraph"/>
        <w:numPr>
          <w:ilvl w:val="0"/>
          <w:numId w:val="1"/>
        </w:numPr>
        <w:spacing w:after="90"/>
      </w:pPr>
      <w:r>
        <w:t xml:space="preserve">Konseling keluarga terintegrasi dalam setiap kunjungan, tidak terpisah dari tata laksana medis.</w:t>
      </w:r>
    </w:p>
    <w:p>
      <w:pPr>
        <w:pStyle w:val="ListParagraph"/>
        <w:numPr>
          <w:ilvl w:val="0"/>
          <w:numId w:val="1"/>
        </w:numPr>
        <w:spacing w:after="90"/>
      </w:pPr>
      <w:r>
        <w:t xml:space="preserve">Penjadwalan kunjungan ulang sesuai klasifikasi keparahan.</w:t>
      </w:r>
    </w:p>
    <w:p>
      <w:pPr>
        <w:pStyle w:val="Heading1"/>
        <w:spacing w:after="150" w:before="300"/>
      </w:pPr>
      <w:r>
        <w:t xml:space="preserve">BAB III — IMUNISASI</w:t>
      </w:r>
    </w:p>
    <w:p>
      <w:pPr>
        <w:spacing w:after="160"/>
        <w:jc w:val="both"/>
      </w:pPr>
      <w:r>
        <w:t xml:space="preserve">Layanan primer adalah ujung tombak program imunisasi nasional. Peran dokter spesialis kedokteran keluarga layanan primer mencakup pemantauan status imunisasi setiap anak dalam keluarga binaan, edukasi dan penanganan keraguan orang tua terhadap vaksin (vaccine hesitancy) dengan pendekatan komunikasi berbasis kepercayaan, serta koordinasi dengan program imunisasi Puskesmas setempat.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Kelompok Usia</w:t>
            </w:r>
          </w:p>
        </w:tc>
        <w:tc>
          <w:tcPr>
            <w:tcW w:type="dxa" w:w="4500"/>
            <w:shd w:fill="2C3A64" w:val="clear"/>
          </w:tcPr>
          <w:p>
            <w:r>
              <w:rPr>
                <w:b/>
                <w:bCs/>
                <w:color w:val="FFFFFF"/>
              </w:rPr>
              <w:t xml:space="preserve">Fokus Layanan Imunisasi</w:t>
            </w:r>
          </w:p>
        </w:tc>
      </w:tr>
      <w:tr>
        <w:tc>
          <w:tcPr>
            <w:tcW w:type="dxa" w:w="4500"/>
          </w:tcPr>
          <w:p>
            <w:r>
              <w:t xml:space="preserve">Bayi (0-11 bulan)</w:t>
            </w:r>
          </w:p>
        </w:tc>
        <w:tc>
          <w:tcPr>
            <w:tcW w:type="dxa" w:w="4500"/>
          </w:tcPr>
          <w:p>
            <w:r>
              <w:t xml:space="preserve">Imunisasi dasar lengkap sesuai jadwal nasional</w:t>
            </w:r>
          </w:p>
        </w:tc>
      </w:tr>
      <w:tr>
        <w:tc>
          <w:tcPr>
            <w:tcW w:type="dxa" w:w="4500"/>
          </w:tcPr>
          <w:p>
            <w:r>
              <w:t xml:space="preserve">Baduta (12-24 bulan)</w:t>
            </w:r>
          </w:p>
        </w:tc>
        <w:tc>
          <w:tcPr>
            <w:tcW w:type="dxa" w:w="4500"/>
          </w:tcPr>
          <w:p>
            <w:r>
              <w:t xml:space="preserve">Imunisasi lanjutan/booster sesuai jadwal nasional</w:t>
            </w:r>
          </w:p>
        </w:tc>
      </w:tr>
      <w:tr>
        <w:tc>
          <w:tcPr>
            <w:tcW w:type="dxa" w:w="4500"/>
          </w:tcPr>
          <w:p>
            <w:r>
              <w:t xml:space="preserve">Anak sekolah</w:t>
            </w:r>
          </w:p>
        </w:tc>
        <w:tc>
          <w:tcPr>
            <w:tcW w:type="dxa" w:w="4500"/>
          </w:tcPr>
          <w:p>
            <w:r>
              <w:t xml:space="preserve">Imunisasi program sekolah sesuai kebijakan nasional yang berlaku</w:t>
            </w:r>
          </w:p>
        </w:tc>
      </w:tr>
      <w:tr>
        <w:tc>
          <w:tcPr>
            <w:tcW w:type="dxa" w:w="4500"/>
          </w:tcPr>
          <w:p>
            <w:r>
              <w:t xml:space="preserve">Remaja dan dewasa</w:t>
            </w:r>
          </w:p>
        </w:tc>
        <w:tc>
          <w:tcPr>
            <w:tcW w:type="dxa" w:w="4500"/>
          </w:tcPr>
          <w:p>
            <w:r>
              <w:t xml:space="preserve">Imunisasi sesuai indikasi khusus (mis. kelompok berisiko, kehamilan)</w:t>
            </w:r>
          </w:p>
        </w:tc>
      </w:tr>
    </w:tbl>
    <w:p>
      <w:pPr>
        <w:spacing w:after="160"/>
      </w:pPr>
    </w:p>
    <w:p>
      <w:pPr>
        <w:pStyle w:val="Heading1"/>
        <w:spacing w:after="150" w:before="300"/>
      </w:pPr>
      <w:r>
        <w:t xml:space="preserve">BAB IV — KESEHATAN REPRODUKSI</w:t>
      </w:r>
    </w:p>
    <w:p>
      <w:pPr>
        <w:spacing w:after="160"/>
        <w:jc w:val="both"/>
      </w:pPr>
      <w:r>
        <w:t xml:space="preserve">Pelayanan kesehatan reproduksi di layanan primer mencakup pelayanan antenatal terpadu, deteksi dini komplikasi kehamilan untuk rujukan tepat waktu, kesehatan reproduksi remaja, serta skrining kondisi ginekologis umum. Pendekatan kedokteran keluarga menekankan kesinambungan layanan dari masa prakonsepsi, kehamilan, persalinan (dengan rujukan sesuai kompetensi), hingga masa nifas.</w:t>
      </w:r>
    </w:p>
    <w:p>
      <w:pPr>
        <w:pStyle w:val="Heading1"/>
        <w:spacing w:after="150" w:before="300"/>
      </w:pPr>
      <w:r>
        <w:t xml:space="preserve">BAB V — KELUARGA BERENCANA</w:t>
      </w:r>
    </w:p>
    <w:p>
      <w:pPr>
        <w:spacing w:after="160"/>
        <w:jc w:val="both"/>
      </w:pPr>
      <w:r>
        <w:t xml:space="preserve">Konseling keluarga berencana di layanan primer bersifat berpusat pada pasien: mempertimbangkan preferensi pasangan, kondisi kesehatan, dan konteks budaya keluarga, bukan sekadar penyediaan metode kontrasepsi. Dokter layanan primer berperan memberikan konseling pilihan metode secara berimbang serta pemantauan efek samping berkelanjutan.</w:t>
      </w:r>
    </w:p>
    <w:p>
      <w:pPr>
        <w:pStyle w:val="Heading1"/>
        <w:spacing w:after="150" w:before="300"/>
      </w:pPr>
      <w:r>
        <w:t xml:space="preserve">BAB VI — KESEHATAN REMAJA SEBAGAI TRANSISI SIKLUS HIDUP</w:t>
      </w:r>
    </w:p>
    <w:p>
      <w:pPr>
        <w:spacing w:after="160"/>
        <w:jc w:val="both"/>
      </w:pPr>
      <w:r>
        <w:t xml:space="preserve">Remaja memerlukan pendekatan tersendiri yang menyeimbangkan otonomi yang berkembang dengan peran keluarga, mencakup kesehatan reproduksi, kesehatan jiwa (dibahas lebih rinci pada Buku Tematik 5), gizi, dan perilaku berisiko. Kerahasiaan dan kepercayaan menjadi prinsip penting dalam membangun hubungan dokter-pasien remaja yang efektif.</w:t>
      </w:r>
    </w:p>
    <w:p>
      <w:pPr>
        <w:pStyle w:val="Heading1"/>
        <w:spacing w:after="150" w:before="300"/>
      </w:pPr>
      <w:r>
        <w:t xml:space="preserve">BAB VII — PENUTUP</w:t>
      </w:r>
    </w:p>
    <w:p>
      <w:pPr>
        <w:spacing w:after="160"/>
        <w:jc w:val="both"/>
      </w:pPr>
      <w:r>
        <w:t xml:space="preserve">Kesehatan ibu, anak, dan remaja menuntut pandangan siklus hidup yang berkesinambungan, menjembatani buku ini dengan Buku Tematik 5 (kesehatan jiwa) dan Buku Tematik 6 (geriatri) sebagai representasi keseluruhan siklus hidup yang dilayani dokter spesialis kedokteran keluarga layanan primer.</w:t>
      </w:r>
    </w:p>
    <w:p>
      <w:pPr>
        <w:pStyle w:val="Heading2"/>
        <w:spacing w:after="120" w:before="250"/>
      </w:pPr>
      <w:r>
        <w:t xml:space="preserve">Glosarium</w:t>
      </w:r>
    </w:p>
    <w:p>
      <w:pPr>
        <w:spacing w:after="90"/>
      </w:pPr>
      <w:r>
        <w:rPr>
          <w:b/>
          <w:bCs/>
        </w:rPr>
        <w:t xml:space="preserve">MTBS — </w:t>
      </w:r>
      <w:r>
        <w:t xml:space="preserve">Manajemen Terpadu Balita Sakit — pendekatan tata laksana terintegrasi balita sakit di layanan primer.</w:t>
      </w:r>
    </w:p>
    <w:p>
      <w:pPr>
        <w:spacing w:after="90"/>
      </w:pPr>
      <w:r>
        <w:rPr>
          <w:b/>
          <w:bCs/>
        </w:rPr>
        <w:t xml:space="preserve">Vaccine Hesitancy — </w:t>
      </w:r>
      <w:r>
        <w:t xml:space="preserve">Keraguan atau penundaan penerimaan vaksinasi meski layanan tersedia.</w:t>
      </w:r>
    </w:p>
    <w:p>
      <w:pPr>
        <w:spacing w:after="90"/>
      </w:pPr>
      <w:r>
        <w:rPr>
          <w:b/>
          <w:bCs/>
        </w:rPr>
        <w:t xml:space="preserve">Pelayanan Antenatal Terpadu — </w:t>
      </w:r>
      <w:r>
        <w:t xml:space="preserve">Pelayanan kehamilan yang mengintegrasikan pemeriksaan medis, gizi, dan konseling.</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jadwal imunisasi dan ambang diagnostik MTBS berubah dari waktu ke waktu; pembaca disarankan merujuk pedoman MTBS, jadwal imunisasi nasional, dan pedoman kesehatan reproduksi Kementerian Kesehatan RI edisi berlaku.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2026-07-15T05:18:29.946Z</dcterms:created>
  <dcterms:modified xsi:type="dcterms:W3CDTF">2026-07-15T05:18:29.946Z</dcterms:modified>
</cp:coreProperties>
</file>

<file path=docProps/custom.xml><?xml version="1.0" encoding="utf-8"?>
<Properties xmlns="http://schemas.openxmlformats.org/officeDocument/2006/custom-properties" xmlns:vt="http://schemas.openxmlformats.org/officeDocument/2006/docPropsVTypes"/>
</file>