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PERPUSTAKAAN DIGITAL ABBA</w:t>
      </w:r>
    </w:p>
    <w:p>
      <w:pPr>
        <w:jc w:val="center"/>
      </w:pPr>
      <w:r>
        <w:t xml:space="preserve">Jl. Kerinci Raya No. 9, Malang 65138</w:t>
      </w:r>
    </w:p>
    <w:p>
      <w:pPr>
        <w:spacing w:after="200"/>
      </w:pPr>
    </w:p>
    <w:p>
      <w:pPr>
        <w:jc w:val="center"/>
      </w:pPr>
      <w:r>
        <w:rPr>
          <w:sz w:val="20"/>
          <w:szCs w:val="20"/>
        </w:rPr>
        <w:t xml:space="preserve">Buku Tematik 7 dari Klaster Digital — Ekosistem Buku Pendidikan Dokter Spesialis Kedokteran Keluarga Layanan Primer (SpKKLP)</w:t>
      </w:r>
    </w:p>
    <w:p>
      <w:pPr>
        <w:spacing w:after="200"/>
      </w:pPr>
    </w:p>
    <w:p>
      <w:pPr>
        <w:jc w:val="center"/>
      </w:pPr>
      <w:r>
        <w:rPr>
          <w:b/>
          <w:bCs/>
          <w:sz w:val="36"/>
          <w:szCs w:val="36"/>
        </w:rPr>
        <w:t xml:space="preserve">Kegawatdaruratan dan Sistem Rujukan Berjenjang di Layanan Primer</w:t>
      </w:r>
    </w:p>
    <w:p>
      <w:pPr>
        <w:spacing w:after="400"/>
      </w:pPr>
    </w:p>
    <w:p>
      <w:pPr>
        <w:jc w:val="center"/>
      </w:pPr>
      <w:r>
        <w:t xml:space="preserve">Disusun oleh</w:t>
      </w:r>
    </w:p>
    <w:p>
      <w:pPr>
        <w:jc w:val="center"/>
      </w:pPr>
      <w:r>
        <w:rPr>
          <w:b/>
          <w:bCs/>
        </w:rPr>
        <w:t xml:space="preserve">Dr.dr. H. Budi Siswanto, Sp.OG, Subsp.Obginsos., SH., S.Kom.</w:t>
      </w:r>
    </w:p>
    <w:p>
      <w:pPr>
        <w:jc w:val="center"/>
      </w:pPr>
      <w:r>
        <w:t xml:space="preserve">2026</w:t>
      </w:r>
    </w:p>
    <w:p>
      <w:pPr>
        <w:pageBreakBefore/>
      </w:pPr>
    </w:p>
    <w:p>
      <w:pPr>
        <w:pStyle w:val="Heading1"/>
        <w:spacing w:after="150" w:before="300"/>
      </w:pPr>
      <w:r>
        <w:t xml:space="preserve">BAB I — PERAN LAYANAN PRIMER DALAM KEGAWATDARURATAN</w:t>
      </w:r>
    </w:p>
    <w:p>
      <w:pPr>
        <w:spacing w:after="160"/>
        <w:jc w:val="both"/>
      </w:pPr>
      <w:r>
        <w:t xml:space="preserve">Meski bukan wahana utama penanganan kegawatdaruratan kompleks, layanan primer sering menjadi titik kontak pertama pasien dengan kondisi gawat darurat. Kemampuan mengenali kegawatan secara cepat, memberikan stabilisasi awal sesuai sumber daya yang tersedia, dan mengambil keputusan rujukan tepat waktu adalah kompetensi yang menentukan keselamatan pasien.</w:t>
      </w:r>
    </w:p>
    <w:p>
      <w:pPr>
        <w:pBdr>
          <w:left w:val="single" w:color="A9812F" w:sz="24"/>
        </w:pBdr>
        <w:shd w:fill="FBEFD9" w:val="clear"/>
        <w:spacing w:after="200" w:before="100"/>
        <w:ind w:left="200"/>
      </w:pPr>
      <w:r>
        <w:rPr>
          <w:b/>
          <w:bCs/>
          <w:color w:val="8A6410"/>
        </w:rPr>
        <w:t xml:space="preserve">⚠ TINJAU TENAGA KESEHATAN — </w:t>
      </w:r>
      <w:r>
        <w:rPr>
          <w:i/>
          <w:iCs/>
        </w:rPr>
        <w:t xml:space="preserve">seluruh algoritma stabilisasi awal dan kriteria rujukan pada bab ini wajib ditinjau ulang oleh tenaga kesehatan berwenang sesuai pedoman kegawatdaruratan nasional terbaru sebelum dipakai sebagai acuan definitif. Struktur 7 Area Kompetensi dan kerangka penjenjangan kompetensi pada Perkonsil Nomor 65 Tahun 2019 telah diverifikasi terhadap salinan resmi yang dipublikasikan di situs Konsil Kedokteran Indonesia (kki.go.id); namun rincian tabel Lampiran II dan Lampiran IV untuk tiap kondisi kegawatdaruratan belum ditelusuri satu per satu pada edisi ini dan wajib diverifikasi ulang oleh pembaca terhadap dokumen resmi sebelum dipakai sebagai acuan definitif.</w:t>
      </w:r>
    </w:p>
    <w:p>
      <w:pPr>
        <w:pStyle w:val="Heading1"/>
        <w:spacing w:after="150" w:before="300"/>
      </w:pPr>
      <w:r>
        <w:t xml:space="preserve">BAB II — PENGENALAN CEPAT KONDISI GAWAT DARURAT</w:t>
      </w:r>
    </w:p>
    <w:p>
      <w:pPr>
        <w:spacing w:after="160"/>
        <w:jc w:val="both"/>
      </w:pPr>
      <w:r>
        <w:t xml:space="preserve">Penilaian awal setiap pasien di layanan primer sebaiknya mencakup penapisan cepat tanda gawat darurat sejak triase, tidak menunggu hingga anamnesis lengkap selesai. Kewaspadaan terhadap kombinasi tanda vital yang tidak stabil menjadi prioritas di atas penegakan diagnosis spesifik pada tahap awal.</w:t>
      </w:r>
    </w:p>
    <w:p>
      <w:pPr>
        <w:pStyle w:val="ListParagraph"/>
        <w:numPr>
          <w:ilvl w:val="0"/>
          <w:numId w:val="1"/>
        </w:numPr>
        <w:spacing w:after="90"/>
      </w:pPr>
      <w:r>
        <w:t xml:space="preserve">Penilaian jalan napas, pernapasan, dan sirkulasi sebagai langkah pertama tanpa terkecuali.</w:t>
      </w:r>
    </w:p>
    <w:p>
      <w:pPr>
        <w:pStyle w:val="ListParagraph"/>
        <w:numPr>
          <w:ilvl w:val="0"/>
          <w:numId w:val="1"/>
        </w:numPr>
        <w:spacing w:after="90"/>
      </w:pPr>
      <w:r>
        <w:t xml:space="preserve">Kewaspadaan terhadap perubahan kesadaran mendadak.</w:t>
      </w:r>
    </w:p>
    <w:p>
      <w:pPr>
        <w:pStyle w:val="ListParagraph"/>
        <w:numPr>
          <w:ilvl w:val="0"/>
          <w:numId w:val="1"/>
        </w:numPr>
        <w:spacing w:after="90"/>
      </w:pPr>
      <w:r>
        <w:t xml:space="preserve">Penilaian cepat pada kegawatan obstetri, kegawatan pada anak, dan trauma.</w:t>
      </w:r>
    </w:p>
    <w:p>
      <w:pPr>
        <w:pStyle w:val="ListParagraph"/>
        <w:numPr>
          <w:ilvl w:val="0"/>
          <w:numId w:val="1"/>
        </w:numPr>
        <w:spacing w:after="90"/>
      </w:pPr>
      <w:r>
        <w:t xml:space="preserve">Dokumentasi cepat namun memadai untuk mendukung proses rujukan.</w:t>
      </w:r>
    </w:p>
    <w:p>
      <w:pPr>
        <w:pStyle w:val="Heading1"/>
        <w:spacing w:after="150" w:before="300"/>
      </w:pPr>
      <w:r>
        <w:t xml:space="preserve">BAB III — STABILISASI AWAL SESUAI SUMBER DAYA LAYANAN PRIMER</w:t>
      </w:r>
    </w:p>
    <w:p>
      <w:pPr>
        <w:spacing w:after="160"/>
        <w:jc w:val="both"/>
      </w:pPr>
      <w:r>
        <w:t xml:space="preserve">Stabilisasi awal di layanan primer dilakukan sesuai keterbatasan sarana yang tersedia, dengan prinsip melakukan yang terbaik dari yang mungkin dilakukan sambil mempersiapkan rujukan, bukan menunda rujukan demi upaya stabilisasi yang melampaui kapasitas fasilitas.</w:t>
      </w:r>
    </w:p>
    <w:p>
      <w:pPr>
        <w:pStyle w:val="Heading1"/>
        <w:spacing w:after="150" w:before="300"/>
      </w:pPr>
      <w:r>
        <w:t xml:space="preserve">BAB IV — KRITERIA DAN PROSES RUJUKAN BERJENJANG</w:t>
      </w:r>
    </w:p>
    <w:p>
      <w:pPr>
        <w:spacing w:after="160"/>
        <w:jc w:val="both"/>
      </w:pPr>
      <w:r>
        <w:t xml:space="preserve">Sistem rujukan berjenjang di Indonesia menempatkan layanan primer sebagai gerbang pertama sebelum layanan sekunder dan tersier. Dokter layanan primer perlu menguasai kriteria rujukan yang jelas, prosedur komunikasi dengan fasilitas penerima rujukan, dan dokumentasi yang memadai agar kontinuitas perawatan pasien terjaga.</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shd w:fill="2C3A64" w:val="clear"/>
          </w:tcPr>
          <w:p>
            <w:r>
              <w:rPr>
                <w:b/>
                <w:bCs/>
                <w:color w:val="FFFFFF"/>
              </w:rPr>
              <w:t xml:space="preserve">Tahap Proses Rujukan</w:t>
            </w:r>
          </w:p>
        </w:tc>
        <w:tc>
          <w:tcPr>
            <w:tcW w:type="dxa" w:w="4500"/>
            <w:shd w:fill="2C3A64" w:val="clear"/>
          </w:tcPr>
          <w:p>
            <w:r>
              <w:rPr>
                <w:b/>
                <w:bCs/>
                <w:color w:val="FFFFFF"/>
              </w:rPr>
              <w:t xml:space="preserve">Hal Penting</w:t>
            </w:r>
          </w:p>
        </w:tc>
      </w:tr>
      <w:tr>
        <w:tc>
          <w:tcPr>
            <w:tcW w:type="dxa" w:w="4500"/>
          </w:tcPr>
          <w:p>
            <w:r>
              <w:t xml:space="preserve">Keputusan merujuk</w:t>
            </w:r>
          </w:p>
        </w:tc>
        <w:tc>
          <w:tcPr>
            <w:tcW w:type="dxa" w:w="4500"/>
          </w:tcPr>
          <w:p>
            <w:r>
              <w:t xml:space="preserve">Berdasarkan kriteria klinis jelas, bukan keraguan semata</w:t>
            </w:r>
          </w:p>
        </w:tc>
      </w:tr>
      <w:tr>
        <w:tc>
          <w:tcPr>
            <w:tcW w:type="dxa" w:w="4500"/>
          </w:tcPr>
          <w:p>
            <w:r>
              <w:t xml:space="preserve">Komunikasi ke fasilitas penerima</w:t>
            </w:r>
          </w:p>
        </w:tc>
        <w:tc>
          <w:tcPr>
            <w:tcW w:type="dxa" w:w="4500"/>
          </w:tcPr>
          <w:p>
            <w:r>
              <w:t xml:space="preserve">Informasi ringkas namun lengkap tentang kondisi dan tindakan yang sudah dilakukan</w:t>
            </w:r>
          </w:p>
        </w:tc>
      </w:tr>
      <w:tr>
        <w:tc>
          <w:tcPr>
            <w:tcW w:type="dxa" w:w="4500"/>
          </w:tcPr>
          <w:p>
            <w:r>
              <w:t xml:space="preserve">Pendampingan selama transportasi</w:t>
            </w:r>
          </w:p>
        </w:tc>
        <w:tc>
          <w:tcPr>
            <w:tcW w:type="dxa" w:w="4500"/>
          </w:tcPr>
          <w:p>
            <w:r>
              <w:t xml:space="preserve">Sesuai tingkat kegawatan dan sumber daya yang tersedia</w:t>
            </w:r>
          </w:p>
        </w:tc>
      </w:tr>
      <w:tr>
        <w:tc>
          <w:tcPr>
            <w:tcW w:type="dxa" w:w="4500"/>
          </w:tcPr>
          <w:p>
            <w:r>
              <w:t xml:space="preserve">Dokumentasi</w:t>
            </w:r>
          </w:p>
        </w:tc>
        <w:tc>
          <w:tcPr>
            <w:tcW w:type="dxa" w:w="4500"/>
          </w:tcPr>
          <w:p>
            <w:r>
              <w:t xml:space="preserve">Surat rujukan lengkap sebagai dasar kontinuitas perawatan</w:t>
            </w:r>
          </w:p>
        </w:tc>
      </w:tr>
    </w:tbl>
    <w:p>
      <w:pPr>
        <w:spacing w:after="160"/>
      </w:pPr>
    </w:p>
    <w:p>
      <w:pPr>
        <w:pStyle w:val="Heading1"/>
        <w:spacing w:after="150" w:before="300"/>
      </w:pPr>
      <w:r>
        <w:t xml:space="preserve">BAB V — RUJUK BALIK DAN KONTINUITAS PERAWATAN</w:t>
      </w:r>
    </w:p>
    <w:p>
      <w:pPr>
        <w:spacing w:after="160"/>
        <w:jc w:val="both"/>
      </w:pPr>
      <w:r>
        <w:t xml:space="preserve">Sistem rujukan berjenjang tidak berakhir pada rujukan ke layanan lanjut, melainkan mencakup rujuk balik ke layanan primer untuk pemantauan berkelanjutan setelah fase akut teratasi. Dokter spesialis kedokteran keluarga layanan primer berperan penting dalam melanjutkan perawatan pasien pascarawat, termasuk memastikan kepatuhan terhadap rencana tata laksana dari layanan rujukan.</w:t>
      </w:r>
    </w:p>
    <w:p>
      <w:pPr>
        <w:pStyle w:val="Heading1"/>
        <w:spacing w:after="150" w:before="300"/>
      </w:pPr>
      <w:r>
        <w:t xml:space="preserve">BAB VI — KESIAPAN WAHANA DAN LATIHAN BERKALA</w:t>
      </w:r>
    </w:p>
    <w:p>
      <w:pPr>
        <w:spacing w:after="160"/>
        <w:jc w:val="both"/>
      </w:pPr>
      <w:r>
        <w:t xml:space="preserve">Kesiapan menghadapi kegawatdaruratan bukan semata kompetensi individu, melainkan juga kesiapan sistem: ketersediaan peralatan dasar kegawatdaruratan, protokol internal yang jelas, dan latihan berkala bagi seluruh staf wahana layanan primer, termasuk peserta didik.</w:t>
      </w:r>
    </w:p>
    <w:p>
      <w:pPr>
        <w:pStyle w:val="Heading1"/>
        <w:spacing w:after="150" w:before="300"/>
      </w:pPr>
      <w:r>
        <w:t xml:space="preserve">BAB VII — PENUTUP</w:t>
      </w:r>
    </w:p>
    <w:p>
      <w:pPr>
        <w:spacing w:after="160"/>
        <w:jc w:val="both"/>
      </w:pPr>
      <w:r>
        <w:t xml:space="preserve">Kemampuan mengenali kegawatan dan mengambil keputusan rujukan yang tepat waktu adalah kompetensi lintas seluruh buku tematik sebelumnya (B2–B6) — bab-bab dalam buku ini merangkum prinsip umum yang berlaku pada semua kelompok penyakit yang telah dibahas.</w:t>
      </w:r>
    </w:p>
    <w:p>
      <w:pPr>
        <w:pStyle w:val="Heading2"/>
        <w:spacing w:after="120" w:before="250"/>
      </w:pPr>
      <w:r>
        <w:t xml:space="preserve">Glosarium</w:t>
      </w:r>
    </w:p>
    <w:p>
      <w:pPr>
        <w:spacing w:after="90"/>
      </w:pPr>
      <w:r>
        <w:rPr>
          <w:b/>
          <w:bCs/>
        </w:rPr>
        <w:t xml:space="preserve">Triase — </w:t>
      </w:r>
      <w:r>
        <w:t xml:space="preserve">Proses pemilahan pasien berdasarkan tingkat kegawatan untuk menentukan prioritas penanganan.</w:t>
      </w:r>
    </w:p>
    <w:p>
      <w:pPr>
        <w:spacing w:after="90"/>
      </w:pPr>
      <w:r>
        <w:rPr>
          <w:b/>
          <w:bCs/>
        </w:rPr>
        <w:t xml:space="preserve">Rujukan Berjenjang — </w:t>
      </w:r>
      <w:r>
        <w:t xml:space="preserve">Sistem rujukan yang mengikuti tingkatan fasilitas kesehatan dari primer, sekunder, hingga tersier.</w:t>
      </w:r>
    </w:p>
    <w:p>
      <w:pPr>
        <w:spacing w:after="90"/>
      </w:pPr>
      <w:r>
        <w:rPr>
          <w:b/>
          <w:bCs/>
        </w:rPr>
        <w:t xml:space="preserve">Rujuk Balik — </w:t>
      </w:r>
      <w:r>
        <w:t xml:space="preserve">Proses pengembalian pasien ke layanan primer untuk pemantauan lanjutan setelah penanganan di layanan rujukan.</w:t>
      </w:r>
    </w:p>
    <w:p>
      <w:pPr>
        <w:pStyle w:val="Heading2"/>
        <w:spacing w:after="120" w:before="250"/>
      </w:pPr>
      <w:r>
        <w:t xml:space="preserve">Daftar Pustaka</w:t>
      </w:r>
    </w:p>
    <w:p>
      <w:pPr>
        <w:spacing w:after="90"/>
        <w:ind w:left="360" w:hanging="360"/>
      </w:pPr>
      <w:r>
        <w:t xml:space="preserve">Konsil Kedokteran Indonesia. Peraturan Konsil Kedokteran Indonesia Nomor 65 Tahun 2019.</w:t>
      </w:r>
    </w:p>
    <w:p>
      <w:pPr>
        <w:spacing w:after="90"/>
        <w:ind w:left="360" w:hanging="360"/>
      </w:pPr>
      <w:r>
        <w:t xml:space="preserve">Catatan: algoritma stabilisasi awal dan kriteria rujukan dalam buku ini bersifat umum; pembaca disarankan merujuk pedoman kegawatdaruratan dan Peraturan Menteri Kesehatan tentang sistem rujukan pelayanan kesehatan edisi berlaku.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2026-07-15T05:18:30.771Z</dcterms:created>
  <dcterms:modified xsi:type="dcterms:W3CDTF">2026-07-15T05:18:30.771Z</dcterms:modified>
</cp:coreProperties>
</file>

<file path=docProps/custom.xml><?xml version="1.0" encoding="utf-8"?>
<Properties xmlns="http://schemas.openxmlformats.org/officeDocument/2006/custom-properties" xmlns:vt="http://schemas.openxmlformats.org/officeDocument/2006/docPropsVTypes"/>
</file>