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jc w:val="center"/>
      </w:pPr>
      <w:r>
        <w:t xml:space="preserve">PERPUSTAKAAN DIGITAL ABBA</w:t>
      </w:r>
    </w:p>
    <w:p>
      <w:pPr>
        <w:jc w:val="center"/>
      </w:pPr>
      <w:r>
        <w:t xml:space="preserve">Jl. Kerinci Raya No. 9, Malang 65138</w:t>
      </w:r>
    </w:p>
    <w:p>
      <w:pPr>
        <w:spacing w:after="200"/>
      </w:pPr>
    </w:p>
    <w:p>
      <w:pPr>
        <w:jc w:val="center"/>
      </w:pPr>
      <w:r>
        <w:rPr>
          <w:sz w:val="20"/>
          <w:szCs w:val="20"/>
        </w:rPr>
        <w:t xml:space="preserve">Buku Tematik 8 dari Klaster Digital — Ekosistem Buku Pendidikan Dokter Spesialis Kedokteran Keluarga Layanan Primer (SpKKLP)</w:t>
      </w:r>
    </w:p>
    <w:p>
      <w:pPr>
        <w:spacing w:after="200"/>
      </w:pPr>
    </w:p>
    <w:p>
      <w:pPr>
        <w:jc w:val="center"/>
      </w:pPr>
      <w:r>
        <w:rPr>
          <w:b/>
          <w:bCs/>
          <w:sz w:val="36"/>
          <w:szCs w:val="36"/>
        </w:rPr>
        <w:t xml:space="preserve">Kedokteran Komunitas dan Kesehatan Masyarakat</w:t>
      </w:r>
    </w:p>
    <w:p>
      <w:pPr>
        <w:spacing w:after="400"/>
      </w:pPr>
    </w:p>
    <w:p>
      <w:pPr>
        <w:jc w:val="center"/>
      </w:pPr>
      <w:r>
        <w:t xml:space="preserve">Disusun oleh</w:t>
      </w:r>
    </w:p>
    <w:p>
      <w:pPr>
        <w:jc w:val="center"/>
      </w:pPr>
      <w:r>
        <w:rPr>
          <w:b/>
          <w:bCs/>
        </w:rPr>
        <w:t xml:space="preserve">Dr.dr. H. Budi Siswanto, Sp.OG, Subsp.Obginsos., SH., S.Kom.</w:t>
      </w:r>
    </w:p>
    <w:p>
      <w:pPr>
        <w:jc w:val="center"/>
      </w:pPr>
      <w:r>
        <w:t xml:space="preserve">2026</w:t>
      </w:r>
    </w:p>
    <w:p>
      <w:pPr>
        <w:pageBreakBefore/>
      </w:pPr>
    </w:p>
    <w:p>
      <w:pPr>
        <w:pStyle w:val="Heading1"/>
        <w:spacing w:after="150" w:before="300"/>
      </w:pPr>
      <w:r>
        <w:t xml:space="preserve">BAB I — DARI PASIEN INDIVIDU MENUJU KOMUNITAS</w:t>
      </w:r>
    </w:p>
    <w:p>
      <w:pPr>
        <w:spacing w:after="160"/>
        <w:jc w:val="both"/>
      </w:pPr>
      <w:r>
        <w:t xml:space="preserve">Bila buku-buku tematik sebelumnya berfokus pada pasien dan keluarga individu, buku ini membahas Area Kompetensi e pada dimensi komunitas: bagaimana dokter spesialis kedokteran keluarga layanan primer memahami dan turut memperbaiki kesehatan populasi di wilayah kerjanya, sejalan dengan peran Community Leader (Buku Utama, Bab IV).</w:t>
      </w:r>
    </w:p>
    <w:p>
      <w:pPr>
        <w:pStyle w:val="Heading1"/>
        <w:spacing w:after="150" w:before="300"/>
      </w:pPr>
      <w:r>
        <w:t xml:space="preserve">BAB II — EPIDEMIOLOGI TERAPAN DI LAYANAN PRIMER</w:t>
      </w:r>
    </w:p>
    <w:p>
      <w:pPr>
        <w:spacing w:after="160"/>
        <w:jc w:val="both"/>
      </w:pPr>
      <w:r>
        <w:t xml:space="preserve">Epidemiologi terapan membekali dokter layanan primer dengan kemampuan membaca pola penyakit di wilayah kerjanya: tren musiman, kelompok berisiko, dan area dengan beban penyakit tinggi. Kemampuan ini mendasari perencanaan intervensi kesehatan masyarakat yang tepat sasaran, bukan sekadar reaktif terhadap kasus yang datang.</w:t>
      </w:r>
    </w:p>
    <w:p>
      <w:pPr>
        <w:pStyle w:val="Heading1"/>
        <w:spacing w:after="150" w:before="300"/>
      </w:pPr>
      <w:r>
        <w:t xml:space="preserve">BAB III — DIAGNOSIS KOMUNITAS</w:t>
      </w:r>
    </w:p>
    <w:p>
      <w:pPr>
        <w:spacing w:after="160"/>
        <w:jc w:val="both"/>
      </w:pPr>
      <w:r>
        <w:t xml:space="preserve">Diagnosis komunitas adalah proses sistematis mengidentifikasi masalah kesehatan utama suatu wilayah kerja beserta determinannya, sebagai dasar perencanaan program kesehatan yang relevan dengan kebutuhan setempat.</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4500"/>
        <w:gridCol w:w="4500"/>
      </w:tblGrid>
      <w:tr>
        <w:tc>
          <w:tcPr>
            <w:tcW w:type="dxa" w:w="4500"/>
            <w:shd w:fill="2C3A64" w:val="clear"/>
          </w:tcPr>
          <w:p>
            <w:r>
              <w:rPr>
                <w:b/>
                <w:bCs/>
                <w:color w:val="FFFFFF"/>
              </w:rPr>
              <w:t xml:space="preserve">Tahap</w:t>
            </w:r>
          </w:p>
        </w:tc>
        <w:tc>
          <w:tcPr>
            <w:tcW w:type="dxa" w:w="4500"/>
            <w:shd w:fill="2C3A64" w:val="clear"/>
          </w:tcPr>
          <w:p>
            <w:r>
              <w:rPr>
                <w:b/>
                <w:bCs/>
                <w:color w:val="FFFFFF"/>
              </w:rPr>
              <w:t xml:space="preserve">Kegiatan</w:t>
            </w:r>
          </w:p>
        </w:tc>
      </w:tr>
      <w:tr>
        <w:tc>
          <w:tcPr>
            <w:tcW w:type="dxa" w:w="4500"/>
          </w:tcPr>
          <w:p>
            <w:r>
              <w:t xml:space="preserve">Pengumpulan data</w:t>
            </w:r>
          </w:p>
        </w:tc>
        <w:tc>
          <w:tcPr>
            <w:tcW w:type="dxa" w:w="4500"/>
          </w:tcPr>
          <w:p>
            <w:r>
              <w:t xml:space="preserve">Data kunjungan, register program, survei sederhana bila diperlukan</w:t>
            </w:r>
          </w:p>
        </w:tc>
      </w:tr>
      <w:tr>
        <w:tc>
          <w:tcPr>
            <w:tcW w:type="dxa" w:w="4500"/>
          </w:tcPr>
          <w:p>
            <w:r>
              <w:t xml:space="preserve">Identifikasi masalah</w:t>
            </w:r>
          </w:p>
        </w:tc>
        <w:tc>
          <w:tcPr>
            <w:tcW w:type="dxa" w:w="4500"/>
          </w:tcPr>
          <w:p>
            <w:r>
              <w:t xml:space="preserve">Penentuan masalah kesehatan prioritas berdasarkan data</w:t>
            </w:r>
          </w:p>
        </w:tc>
      </w:tr>
      <w:tr>
        <w:tc>
          <w:tcPr>
            <w:tcW w:type="dxa" w:w="4500"/>
          </w:tcPr>
          <w:p>
            <w:r>
              <w:t xml:space="preserve">Analisis determinan</w:t>
            </w:r>
          </w:p>
        </w:tc>
        <w:tc>
          <w:tcPr>
            <w:tcW w:type="dxa" w:w="4500"/>
          </w:tcPr>
          <w:p>
            <w:r>
              <w:t xml:space="preserve">Penelusuran faktor sosial, lingkungan, dan perilaku yang berkontribusi</w:t>
            </w:r>
          </w:p>
        </w:tc>
      </w:tr>
      <w:tr>
        <w:tc>
          <w:tcPr>
            <w:tcW w:type="dxa" w:w="4500"/>
          </w:tcPr>
          <w:p>
            <w:r>
              <w:t xml:space="preserve">Perencanaan intervensi</w:t>
            </w:r>
          </w:p>
        </w:tc>
        <w:tc>
          <w:tcPr>
            <w:tcW w:type="dxa" w:w="4500"/>
          </w:tcPr>
          <w:p>
            <w:r>
              <w:t xml:space="preserve">Program yang melibatkan masyarakat dan lintas sektor</w:t>
            </w:r>
          </w:p>
        </w:tc>
      </w:tr>
      <w:tr>
        <w:tc>
          <w:tcPr>
            <w:tcW w:type="dxa" w:w="4500"/>
          </w:tcPr>
          <w:p>
            <w:r>
              <w:t xml:space="preserve">Evaluasi</w:t>
            </w:r>
          </w:p>
        </w:tc>
        <w:tc>
          <w:tcPr>
            <w:tcW w:type="dxa" w:w="4500"/>
          </w:tcPr>
          <w:p>
            <w:r>
              <w:t xml:space="preserve">Pemantauan dampak program secara berkala</w:t>
            </w:r>
          </w:p>
        </w:tc>
      </w:tr>
    </w:tbl>
    <w:p>
      <w:pPr>
        <w:spacing w:after="160"/>
      </w:pPr>
    </w:p>
    <w:p>
      <w:pPr>
        <w:pStyle w:val="Heading1"/>
        <w:spacing w:after="150" w:before="300"/>
      </w:pPr>
      <w:r>
        <w:t xml:space="preserve">BAB IV — PROMOSI KESEHATAN DAN PENCEGAHAN PENYAKIT</w:t>
      </w:r>
    </w:p>
    <w:p>
      <w:pPr>
        <w:spacing w:after="160"/>
        <w:jc w:val="both"/>
      </w:pPr>
      <w:r>
        <w:t xml:space="preserve">Promosi kesehatan di layanan primer mencakup edukasi individu pada setiap kontak klinis maupun program berbasis komunitas yang lebih luas, dengan prinsip melibatkan masyarakat sebagai mitra aktif, bukan sekadar penerima pasif informasi kesehatan.</w:t>
      </w:r>
    </w:p>
    <w:p>
      <w:pPr>
        <w:pStyle w:val="ListParagraph"/>
        <w:numPr>
          <w:ilvl w:val="0"/>
          <w:numId w:val="1"/>
        </w:numPr>
        <w:spacing w:after="90"/>
      </w:pPr>
      <w:r>
        <w:t xml:space="preserve">Edukasi kesehatan terintegrasi dalam setiap kunjungan klinis, bukan kegiatan terpisah.</w:t>
      </w:r>
    </w:p>
    <w:p>
      <w:pPr>
        <w:pStyle w:val="ListParagraph"/>
        <w:numPr>
          <w:ilvl w:val="0"/>
          <w:numId w:val="1"/>
        </w:numPr>
        <w:spacing w:after="90"/>
      </w:pPr>
      <w:r>
        <w:t xml:space="preserve">Pemberdayaan kader kesehatan masyarakat sebagai perpanjangan tangan layanan primer.</w:t>
      </w:r>
    </w:p>
    <w:p>
      <w:pPr>
        <w:pStyle w:val="ListParagraph"/>
        <w:numPr>
          <w:ilvl w:val="0"/>
          <w:numId w:val="1"/>
        </w:numPr>
        <w:spacing w:after="90"/>
      </w:pPr>
      <w:r>
        <w:t xml:space="preserve">Kolaborasi lintas sektor (pendidikan, lingkungan, sosial) untuk determinan kesehatan di luar sektor medis.</w:t>
      </w:r>
    </w:p>
    <w:p>
      <w:pPr>
        <w:pStyle w:val="ListParagraph"/>
        <w:numPr>
          <w:ilvl w:val="0"/>
          <w:numId w:val="1"/>
        </w:numPr>
        <w:spacing w:after="90"/>
      </w:pPr>
      <w:r>
        <w:t xml:space="preserve">Pemanfaatan momentum kunjungan keluarga untuk edukasi preventif yang relevan dengan tahap siklus hidup keluarga.</w:t>
      </w:r>
    </w:p>
    <w:p>
      <w:pPr>
        <w:pStyle w:val="Heading1"/>
        <w:spacing w:after="150" w:before="300"/>
      </w:pPr>
      <w:r>
        <w:t xml:space="preserve">BAB V — KESEHATAN LINGKUNGAN DAN KESEHATAN KERJA DASAR</w:t>
      </w:r>
    </w:p>
    <w:p>
      <w:pPr>
        <w:spacing w:after="160"/>
        <w:jc w:val="both"/>
      </w:pPr>
      <w:r>
        <w:t xml:space="preserve">Dokter layanan primer perlu peka terhadap determinan lingkungan dan pekerjaan yang memengaruhi kesehatan pasien dan komunitasnya — kualitas air dan sanitasi, paparan okupasional, dan kondisi tempat tinggal — sebagai bagian dari pemahaman menyeluruh terhadap konteks kesehatan pasien.</w:t>
      </w:r>
    </w:p>
    <w:p>
      <w:pPr>
        <w:pStyle w:val="Heading1"/>
        <w:spacing w:after="150" w:before="300"/>
      </w:pPr>
      <w:r>
        <w:t xml:space="preserve">BAB VI — KOLABORASI DENGAN PROGRAM KESEHATAN MASYARAKAT SETEMPAT</w:t>
      </w:r>
    </w:p>
    <w:p>
      <w:pPr>
        <w:spacing w:after="160"/>
        <w:jc w:val="both"/>
      </w:pPr>
      <w:r>
        <w:t xml:space="preserve">Dokter spesialis kedokteran keluarga layanan primer bekerja selaras dengan program kesehatan masyarakat yang berjalan di wilayahnya (mis. program gizi, kesehatan lingkungan, pengendalian penyakit menular), bukan bekerja terpisah dari sistem kesehatan masyarakat yang sudah ada.</w:t>
      </w:r>
    </w:p>
    <w:p>
      <w:pPr>
        <w:pStyle w:val="Heading1"/>
        <w:spacing w:after="150" w:before="300"/>
      </w:pPr>
      <w:r>
        <w:t xml:space="preserve">BAB VII — PENUTUP</w:t>
      </w:r>
    </w:p>
    <w:p>
      <w:pPr>
        <w:spacing w:after="160"/>
        <w:jc w:val="both"/>
      </w:pPr>
      <w:r>
        <w:t xml:space="preserve">Dimensi komunitas melengkapi dimensi individu dan keluarga yang telah dibangun sejak Buku Tematik 1, menegaskan bahwa kompetensi dokter spesialis kedokteran keluarga layanan primer beroperasi pada tiga tingkat sekaligus: individu, keluarga, dan komunitas.</w:t>
      </w:r>
    </w:p>
    <w:p>
      <w:pPr>
        <w:pStyle w:val="Heading2"/>
        <w:spacing w:after="120" w:before="250"/>
      </w:pPr>
      <w:r>
        <w:t xml:space="preserve">Glosarium</w:t>
      </w:r>
    </w:p>
    <w:p>
      <w:pPr>
        <w:spacing w:after="90"/>
      </w:pPr>
      <w:r>
        <w:rPr>
          <w:b/>
          <w:bCs/>
        </w:rPr>
        <w:t xml:space="preserve">Diagnosis Komunitas — </w:t>
      </w:r>
      <w:r>
        <w:t xml:space="preserve">Proses sistematis identifikasi masalah kesehatan utama suatu wilayah kerja beserta determinannya.</w:t>
      </w:r>
    </w:p>
    <w:p>
      <w:pPr>
        <w:spacing w:after="90"/>
      </w:pPr>
      <w:r>
        <w:rPr>
          <w:b/>
          <w:bCs/>
        </w:rPr>
        <w:t xml:space="preserve">Kader Kesehatan Masyarakat — </w:t>
      </w:r>
      <w:r>
        <w:t xml:space="preserve">Anggota masyarakat yang dilatih untuk mendukung kegiatan kesehatan di wilayahnya.</w:t>
      </w:r>
    </w:p>
    <w:p>
      <w:pPr>
        <w:spacing w:after="90"/>
      </w:pPr>
      <w:r>
        <w:rPr>
          <w:b/>
          <w:bCs/>
        </w:rPr>
        <w:t xml:space="preserve">Determinan Kesehatan — </w:t>
      </w:r>
      <w:r>
        <w:t xml:space="preserve">Faktor sosial, lingkungan, dan perilaku yang memengaruhi status kesehatan populasi.</w:t>
      </w:r>
    </w:p>
    <w:p>
      <w:pPr>
        <w:pStyle w:val="Heading2"/>
        <w:spacing w:after="120" w:before="250"/>
      </w:pPr>
      <w:r>
        <w:t xml:space="preserve">Daftar Pustaka</w:t>
      </w:r>
    </w:p>
    <w:p>
      <w:pPr>
        <w:spacing w:after="90"/>
        <w:ind w:left="360" w:hanging="360"/>
      </w:pPr>
      <w:r>
        <w:t xml:space="preserve">Konsil Kedokteran Indonesia. Peraturan Konsil Kedokteran Indonesia Nomor 65 Tahun 2019.</w:t>
      </w:r>
    </w:p>
    <w:p>
      <w:pPr>
        <w:spacing w:after="90"/>
        <w:ind w:left="360" w:hanging="360"/>
      </w:pPr>
      <w:r>
        <w:t xml:space="preserve">Catatan: data dan pedoman program kesehatan masyarakat diperbarui berkala; pembaca disarankan merujuk publikasi Kementerian Kesehatan RI edisi berlaku, termasuk laporan Survei Kesehatan Indonesia (SKI) terkini.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2026-07-15T05:18:31.034Z</dcterms:created>
  <dcterms:modified xsi:type="dcterms:W3CDTF">2026-07-15T05:18:31.034Z</dcterms:modified>
</cp:coreProperties>
</file>

<file path=docProps/custom.xml><?xml version="1.0" encoding="utf-8"?>
<Properties xmlns="http://schemas.openxmlformats.org/officeDocument/2006/custom-properties" xmlns:vt="http://schemas.openxmlformats.org/officeDocument/2006/docPropsVTypes"/>
</file>